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theme/themeOverride3.xml" ContentType="application/vnd.openxmlformats-officedocument.themeOverride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theme/themeOverride5.xml" ContentType="application/vnd.openxmlformats-officedocument.themeOverride+xml"/>
  <Override PartName="/word/charts/chart13.xml" ContentType="application/vnd.openxmlformats-officedocument.drawingml.chart+xml"/>
  <Override PartName="/word/theme/themeOverride6.xml" ContentType="application/vnd.openxmlformats-officedocument.themeOverride+xml"/>
  <Override PartName="/word/charts/chart14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8C" w:rsidRPr="00757B29" w:rsidRDefault="00C0688C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B29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Pr="00757B29">
        <w:rPr>
          <w:rFonts w:ascii="Times New Roman" w:hAnsi="Times New Roman" w:cs="Times New Roman"/>
          <w:b/>
          <w:sz w:val="28"/>
          <w:szCs w:val="28"/>
        </w:rPr>
        <w:br/>
        <w:t xml:space="preserve">о результатах мониторинга закупок товаров, работ, услуг </w:t>
      </w:r>
      <w:r w:rsidRPr="00757B29">
        <w:rPr>
          <w:rFonts w:ascii="Times New Roman" w:hAnsi="Times New Roman" w:cs="Times New Roman"/>
          <w:b/>
          <w:sz w:val="28"/>
          <w:szCs w:val="28"/>
        </w:rPr>
        <w:br/>
        <w:t xml:space="preserve">для обеспечения государственных нужд Свердловской области </w:t>
      </w:r>
      <w:r w:rsidRPr="00757B29">
        <w:rPr>
          <w:rFonts w:ascii="Times New Roman" w:hAnsi="Times New Roman" w:cs="Times New Roman"/>
          <w:b/>
          <w:sz w:val="28"/>
          <w:szCs w:val="28"/>
        </w:rPr>
        <w:br/>
        <w:t xml:space="preserve">за </w:t>
      </w:r>
      <w:r w:rsidR="00FF7671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Pr="00757B29">
        <w:rPr>
          <w:rFonts w:ascii="Times New Roman" w:hAnsi="Times New Roman" w:cs="Times New Roman"/>
          <w:b/>
          <w:sz w:val="28"/>
          <w:szCs w:val="28"/>
        </w:rPr>
        <w:t>201</w:t>
      </w:r>
      <w:r w:rsidR="00FF7671">
        <w:rPr>
          <w:rFonts w:ascii="Times New Roman" w:hAnsi="Times New Roman" w:cs="Times New Roman"/>
          <w:b/>
          <w:sz w:val="28"/>
          <w:szCs w:val="28"/>
        </w:rPr>
        <w:t>8</w:t>
      </w:r>
      <w:r w:rsidRPr="00757B2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A422E">
        <w:rPr>
          <w:rFonts w:ascii="Times New Roman" w:hAnsi="Times New Roman" w:cs="Times New Roman"/>
          <w:b/>
          <w:sz w:val="28"/>
          <w:szCs w:val="28"/>
        </w:rPr>
        <w:t xml:space="preserve"> (с 01.01.2018 по 30.06.2018)</w:t>
      </w:r>
    </w:p>
    <w:p w:rsidR="00BF3895" w:rsidRPr="00757B29" w:rsidRDefault="00BF3895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5B69" w:rsidRPr="000F2BA8" w:rsidRDefault="00281663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757B2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>ьным</w:t>
      </w:r>
      <w:r w:rsidRPr="00757B2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7B29">
        <w:rPr>
          <w:rFonts w:ascii="Times New Roman" w:hAnsi="Times New Roman" w:cs="Times New Roman"/>
          <w:sz w:val="28"/>
          <w:szCs w:val="28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 </w:t>
      </w:r>
      <w:r w:rsidRPr="000F2BA8">
        <w:rPr>
          <w:rFonts w:ascii="Times New Roman" w:hAnsi="Times New Roman" w:cs="Times New Roman"/>
          <w:sz w:val="28"/>
          <w:szCs w:val="28"/>
        </w:rPr>
        <w:t xml:space="preserve">(далее – Закон о контрактной системе) </w:t>
      </w:r>
      <w:r w:rsidR="000D5B69" w:rsidRPr="000F2BA8">
        <w:rPr>
          <w:rFonts w:ascii="Times New Roman" w:hAnsi="Times New Roman" w:cs="Times New Roman"/>
          <w:sz w:val="28"/>
          <w:szCs w:val="28"/>
        </w:rPr>
        <w:t>закрепл</w:t>
      </w:r>
      <w:r w:rsidRPr="000F2BA8">
        <w:rPr>
          <w:rFonts w:ascii="Times New Roman" w:hAnsi="Times New Roman" w:cs="Times New Roman"/>
          <w:sz w:val="28"/>
          <w:szCs w:val="28"/>
        </w:rPr>
        <w:t>ена</w:t>
      </w:r>
      <w:r w:rsidR="000D5B69" w:rsidRPr="000F2BA8">
        <w:rPr>
          <w:rFonts w:ascii="Times New Roman" w:hAnsi="Times New Roman" w:cs="Times New Roman"/>
          <w:sz w:val="28"/>
          <w:szCs w:val="28"/>
        </w:rPr>
        <w:t xml:space="preserve"> необходимость осуществления с 2017 года на постоянной основе мониторинга всех стадий закупок (планирования, определения поставщика (подрядчика, исполнителя), исполнения контракта) посредством сбора, обобщения, систематизации и оценки информации об осуществлении закупок.</w:t>
      </w:r>
      <w:proofErr w:type="gramEnd"/>
    </w:p>
    <w:p w:rsidR="000D5B69" w:rsidRPr="000F2BA8" w:rsidRDefault="000D5B69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BA8">
        <w:rPr>
          <w:rFonts w:ascii="Times New Roman" w:hAnsi="Times New Roman" w:cs="Times New Roman"/>
          <w:sz w:val="28"/>
          <w:szCs w:val="28"/>
        </w:rPr>
        <w:t>Результатом мониторинга является аналитический отчет, содержащий систематизированную информацию, формируемый по результатам осуществления мониторинга закупок товаров, работ, услуг для обеспечения государственных нужд Свердловской области, утвержденны</w:t>
      </w:r>
      <w:r w:rsidR="00B23E83">
        <w:rPr>
          <w:rFonts w:ascii="Times New Roman" w:hAnsi="Times New Roman" w:cs="Times New Roman"/>
          <w:sz w:val="28"/>
          <w:szCs w:val="28"/>
        </w:rPr>
        <w:t>й</w:t>
      </w:r>
      <w:r w:rsidRPr="000F2BA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Свердловской области от 14.03.2017 г.</w:t>
      </w:r>
      <w:r w:rsidR="00916ECA" w:rsidRPr="000F2BA8">
        <w:rPr>
          <w:rFonts w:ascii="Times New Roman" w:hAnsi="Times New Roman" w:cs="Times New Roman"/>
          <w:sz w:val="28"/>
          <w:szCs w:val="28"/>
        </w:rPr>
        <w:t xml:space="preserve"> </w:t>
      </w:r>
      <w:r w:rsidRPr="000F2BA8">
        <w:rPr>
          <w:rFonts w:ascii="Times New Roman" w:hAnsi="Times New Roman" w:cs="Times New Roman"/>
          <w:sz w:val="28"/>
          <w:szCs w:val="28"/>
        </w:rPr>
        <w:t xml:space="preserve">№ 148-ПП </w:t>
      </w:r>
      <w:r w:rsidR="00675398">
        <w:rPr>
          <w:rFonts w:ascii="Times New Roman" w:hAnsi="Times New Roman" w:cs="Times New Roman"/>
          <w:sz w:val="28"/>
          <w:szCs w:val="28"/>
        </w:rPr>
        <w:br/>
      </w:r>
      <w:r w:rsidRPr="000F2BA8">
        <w:rPr>
          <w:rFonts w:ascii="Times New Roman" w:hAnsi="Times New Roman" w:cs="Times New Roman"/>
          <w:sz w:val="28"/>
          <w:szCs w:val="28"/>
        </w:rPr>
        <w:t>«О мониторинге закупок товаров, работ услуг для обеспечения государственных нужд Свердловской области».</w:t>
      </w:r>
    </w:p>
    <w:p w:rsidR="00C0688C" w:rsidRPr="00757B29" w:rsidRDefault="00C0688C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F2BA8">
        <w:rPr>
          <w:rFonts w:ascii="Times New Roman" w:hAnsi="Times New Roman" w:cs="Times New Roman"/>
          <w:sz w:val="28"/>
          <w:szCs w:val="28"/>
        </w:rPr>
        <w:t>Аналитический отчет о результатах мониторинга закупок товаров, работ, услуг для обеспечения государственных нужд Свердловской области за</w:t>
      </w:r>
      <w:r w:rsidR="005967C7">
        <w:rPr>
          <w:rFonts w:ascii="Times New Roman" w:hAnsi="Times New Roman" w:cs="Times New Roman"/>
          <w:sz w:val="28"/>
          <w:szCs w:val="28"/>
        </w:rPr>
        <w:t xml:space="preserve"> первое полугодие </w:t>
      </w:r>
      <w:r w:rsidR="00BB61D3" w:rsidRPr="000F2BA8">
        <w:rPr>
          <w:rFonts w:ascii="Times New Roman" w:hAnsi="Times New Roman" w:cs="Times New Roman"/>
          <w:sz w:val="28"/>
          <w:szCs w:val="28"/>
        </w:rPr>
        <w:t>201</w:t>
      </w:r>
      <w:r w:rsidR="005967C7">
        <w:rPr>
          <w:rFonts w:ascii="Times New Roman" w:hAnsi="Times New Roman" w:cs="Times New Roman"/>
          <w:sz w:val="28"/>
          <w:szCs w:val="28"/>
        </w:rPr>
        <w:t>8</w:t>
      </w:r>
      <w:r w:rsidR="00BB61D3" w:rsidRPr="000F2BA8">
        <w:rPr>
          <w:rFonts w:ascii="Times New Roman" w:hAnsi="Times New Roman" w:cs="Times New Roman"/>
          <w:sz w:val="28"/>
          <w:szCs w:val="28"/>
        </w:rPr>
        <w:t xml:space="preserve"> год</w:t>
      </w:r>
      <w:r w:rsidR="005967C7">
        <w:rPr>
          <w:rFonts w:ascii="Times New Roman" w:hAnsi="Times New Roman" w:cs="Times New Roman"/>
          <w:sz w:val="28"/>
          <w:szCs w:val="28"/>
        </w:rPr>
        <w:t>а</w:t>
      </w:r>
      <w:r w:rsidRPr="000F2BA8">
        <w:rPr>
          <w:rFonts w:ascii="Times New Roman" w:hAnsi="Times New Roman" w:cs="Times New Roman"/>
          <w:sz w:val="28"/>
          <w:szCs w:val="28"/>
        </w:rPr>
        <w:t xml:space="preserve"> сформирован Департаментом </w:t>
      </w:r>
      <w:r w:rsidR="00A06752" w:rsidRPr="000F2BA8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F2BA8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A06752" w:rsidRPr="000F2BA8">
        <w:rPr>
          <w:rFonts w:ascii="Times New Roman" w:hAnsi="Times New Roman" w:cs="Times New Roman"/>
          <w:sz w:val="28"/>
          <w:szCs w:val="28"/>
        </w:rPr>
        <w:t>Свердловской</w:t>
      </w:r>
      <w:r w:rsidRPr="000F2BA8">
        <w:rPr>
          <w:rFonts w:ascii="Times New Roman" w:hAnsi="Times New Roman" w:cs="Times New Roman"/>
          <w:sz w:val="28"/>
          <w:szCs w:val="28"/>
        </w:rPr>
        <w:t xml:space="preserve"> области (далее – </w:t>
      </w:r>
      <w:r w:rsidR="00D44B2C" w:rsidRPr="000F2BA8">
        <w:rPr>
          <w:rFonts w:ascii="Times New Roman" w:hAnsi="Times New Roman" w:cs="Times New Roman"/>
          <w:sz w:val="28"/>
          <w:szCs w:val="28"/>
        </w:rPr>
        <w:t>Департамент</w:t>
      </w:r>
      <w:r w:rsidRPr="000F2BA8">
        <w:rPr>
          <w:rFonts w:ascii="Times New Roman" w:hAnsi="Times New Roman" w:cs="Times New Roman"/>
          <w:sz w:val="28"/>
          <w:szCs w:val="28"/>
        </w:rPr>
        <w:t>) в соответствии со статьей 97</w:t>
      </w:r>
      <w:r w:rsidR="00BB61D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3F6149">
        <w:rPr>
          <w:rFonts w:ascii="Times New Roman" w:hAnsi="Times New Roman" w:cs="Times New Roman"/>
          <w:sz w:val="28"/>
          <w:szCs w:val="28"/>
        </w:rPr>
        <w:t>о</w:t>
      </w:r>
      <w:r w:rsidRPr="00757B29">
        <w:rPr>
          <w:rFonts w:ascii="Times New Roman" w:hAnsi="Times New Roman" w:cs="Times New Roman"/>
          <w:sz w:val="28"/>
          <w:szCs w:val="28"/>
        </w:rPr>
        <w:t xml:space="preserve"> контрактной системе </w:t>
      </w:r>
      <w:r w:rsidR="006A692A" w:rsidRPr="00757B29">
        <w:rPr>
          <w:rFonts w:ascii="Times New Roman" w:hAnsi="Times New Roman" w:cs="Times New Roman"/>
          <w:sz w:val="28"/>
          <w:szCs w:val="28"/>
        </w:rPr>
        <w:t xml:space="preserve">и </w:t>
      </w:r>
      <w:r w:rsidRPr="00757B2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Свердловской области от 14.03.2017 г. № 148-ПП «О мониторинге закупок товаров, работ услуг для обеспечения государственных нужд Свердловской области».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0D5B69" w:rsidRPr="00757B29">
        <w:rPr>
          <w:rFonts w:ascii="Times New Roman" w:hAnsi="Times New Roman" w:cs="Times New Roman"/>
          <w:sz w:val="28"/>
          <w:szCs w:val="28"/>
        </w:rPr>
        <w:t>закупок товаров, работ услуг</w:t>
      </w:r>
      <w:r w:rsidR="006D40C8" w:rsidRPr="00757B29">
        <w:rPr>
          <w:rFonts w:ascii="Times New Roman" w:hAnsi="Times New Roman" w:cs="Times New Roman"/>
          <w:sz w:val="28"/>
          <w:szCs w:val="28"/>
        </w:rPr>
        <w:t xml:space="preserve"> </w:t>
      </w:r>
      <w:r w:rsidR="000D5B69" w:rsidRPr="00757B29">
        <w:rPr>
          <w:rFonts w:ascii="Times New Roman" w:hAnsi="Times New Roman" w:cs="Times New Roman"/>
          <w:sz w:val="28"/>
          <w:szCs w:val="28"/>
        </w:rPr>
        <w:t>для обеспечения государственных нужд Свердловской области</w:t>
      </w:r>
      <w:r w:rsidR="006D40C8" w:rsidRPr="00757B29">
        <w:rPr>
          <w:rFonts w:ascii="Times New Roman" w:hAnsi="Times New Roman" w:cs="Times New Roman"/>
          <w:sz w:val="28"/>
          <w:szCs w:val="28"/>
        </w:rPr>
        <w:t xml:space="preserve"> (далее – Мониторинг) </w:t>
      </w:r>
      <w:r w:rsidRPr="00757B29">
        <w:rPr>
          <w:rFonts w:ascii="Times New Roman" w:hAnsi="Times New Roman" w:cs="Times New Roman"/>
          <w:sz w:val="28"/>
          <w:szCs w:val="28"/>
        </w:rPr>
        <w:t>осуществляется на следующих этапах закупок: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1) планирование закупок;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2) проведение процедур определения поставщика (подрядчика, исполнителя);</w:t>
      </w:r>
    </w:p>
    <w:p w:rsidR="00386E60" w:rsidRDefault="00386E60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lastRenderedPageBreak/>
        <w:t>3) исполнение контракта.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Мониторингом не охватываются закупки, по которым определение поставщика (подрядчика, исполнителя) осуществляется закрытыми способами.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Обеспечение мониторинга осуществляется Департаментом посредством сбора, обобщения, систематизации и оценки информации, содержащейся: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 xml:space="preserve">1) на официальном сайте единой информационной системы в сфере закупок </w:t>
      </w:r>
      <w:hyperlink r:id="rId9" w:history="1">
        <w:r w:rsidR="003446AE" w:rsidRPr="00757B2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www.zakupki.gov.ru</w:t>
        </w:r>
      </w:hyperlink>
      <w:r w:rsidR="003446AE" w:rsidRPr="00757B2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F39F2">
        <w:rPr>
          <w:rFonts w:ascii="Times New Roman" w:hAnsi="Times New Roman" w:cs="Times New Roman"/>
          <w:sz w:val="28"/>
          <w:szCs w:val="28"/>
        </w:rPr>
        <w:t xml:space="preserve"> </w:t>
      </w:r>
      <w:r w:rsidR="003446AE" w:rsidRPr="00757B29">
        <w:rPr>
          <w:rFonts w:ascii="Times New Roman" w:hAnsi="Times New Roman" w:cs="Times New Roman"/>
          <w:sz w:val="28"/>
          <w:szCs w:val="28"/>
        </w:rPr>
        <w:t>ЕИС)</w:t>
      </w:r>
      <w:r w:rsidRPr="00757B29">
        <w:rPr>
          <w:rFonts w:ascii="Times New Roman" w:hAnsi="Times New Roman" w:cs="Times New Roman"/>
          <w:sz w:val="28"/>
          <w:szCs w:val="28"/>
        </w:rPr>
        <w:t>;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2) на сайте Свердловской области в информаци</w:t>
      </w:r>
      <w:r w:rsidR="003F614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57B29">
        <w:rPr>
          <w:rFonts w:ascii="Times New Roman" w:hAnsi="Times New Roman" w:cs="Times New Roman"/>
          <w:sz w:val="28"/>
          <w:szCs w:val="28"/>
        </w:rPr>
        <w:t xml:space="preserve"> </w:t>
      </w:r>
      <w:r w:rsidR="003F6149">
        <w:rPr>
          <w:rFonts w:ascii="Times New Roman" w:hAnsi="Times New Roman" w:cs="Times New Roman"/>
          <w:sz w:val="28"/>
          <w:szCs w:val="28"/>
        </w:rPr>
        <w:t>«</w:t>
      </w:r>
      <w:r w:rsidRPr="00757B29">
        <w:rPr>
          <w:rFonts w:ascii="Times New Roman" w:hAnsi="Times New Roman" w:cs="Times New Roman"/>
          <w:sz w:val="28"/>
          <w:szCs w:val="28"/>
        </w:rPr>
        <w:t xml:space="preserve">Информационная система </w:t>
      </w:r>
      <w:r w:rsidR="00792402">
        <w:rPr>
          <w:rFonts w:ascii="Times New Roman" w:hAnsi="Times New Roman" w:cs="Times New Roman"/>
          <w:sz w:val="28"/>
          <w:szCs w:val="28"/>
        </w:rPr>
        <w:t>в сфере закупок</w:t>
      </w:r>
      <w:r w:rsidR="00792402" w:rsidRPr="00757B29">
        <w:rPr>
          <w:rFonts w:ascii="Times New Roman" w:hAnsi="Times New Roman" w:cs="Times New Roman"/>
          <w:sz w:val="28"/>
          <w:szCs w:val="28"/>
        </w:rPr>
        <w:t xml:space="preserve"> </w:t>
      </w:r>
      <w:r w:rsidRPr="00757B29">
        <w:rPr>
          <w:rFonts w:ascii="Times New Roman" w:hAnsi="Times New Roman" w:cs="Times New Roman"/>
          <w:sz w:val="28"/>
          <w:szCs w:val="28"/>
        </w:rPr>
        <w:t>Сверд</w:t>
      </w:r>
      <w:r w:rsidR="003F6149">
        <w:rPr>
          <w:rFonts w:ascii="Times New Roman" w:hAnsi="Times New Roman" w:cs="Times New Roman"/>
          <w:sz w:val="28"/>
          <w:szCs w:val="28"/>
        </w:rPr>
        <w:t>ловской области»</w:t>
      </w:r>
      <w:r w:rsidRPr="00757B29">
        <w:rPr>
          <w:rFonts w:ascii="Times New Roman" w:hAnsi="Times New Roman" w:cs="Times New Roman"/>
          <w:sz w:val="28"/>
          <w:szCs w:val="28"/>
        </w:rPr>
        <w:t xml:space="preserve"> www.torgi.midural.ru, интегрированном с </w:t>
      </w:r>
      <w:r w:rsidR="00792402">
        <w:rPr>
          <w:rFonts w:ascii="Times New Roman" w:hAnsi="Times New Roman" w:cs="Times New Roman"/>
          <w:sz w:val="28"/>
          <w:szCs w:val="28"/>
        </w:rPr>
        <w:t>ЕИС</w:t>
      </w:r>
      <w:r w:rsidRPr="00757B2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92402">
        <w:rPr>
          <w:rFonts w:ascii="Times New Roman" w:hAnsi="Times New Roman" w:cs="Times New Roman"/>
          <w:sz w:val="28"/>
          <w:szCs w:val="28"/>
        </w:rPr>
        <w:t>–</w:t>
      </w:r>
      <w:r w:rsidRPr="00757B29">
        <w:rPr>
          <w:rFonts w:ascii="Times New Roman" w:hAnsi="Times New Roman" w:cs="Times New Roman"/>
          <w:sz w:val="28"/>
          <w:szCs w:val="28"/>
        </w:rPr>
        <w:t xml:space="preserve"> информационная система Свердловской области);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3) на электронных площадках;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B29">
        <w:rPr>
          <w:rFonts w:ascii="Times New Roman" w:hAnsi="Times New Roman" w:cs="Times New Roman"/>
          <w:sz w:val="28"/>
          <w:szCs w:val="28"/>
        </w:rPr>
        <w:t>4) в письмах и обращениях, поступающих в орган, обеспечивающий мониторинг, от федеральных органов исполнительной власти, федеральных государственных органов, органов государственной власти субъектов Российской Федерации и местного самоуправления, граждан, организаций, в том числе</w:t>
      </w:r>
      <w:r w:rsidR="00B23E83">
        <w:rPr>
          <w:rFonts w:ascii="Times New Roman" w:hAnsi="Times New Roman" w:cs="Times New Roman"/>
          <w:sz w:val="28"/>
          <w:szCs w:val="28"/>
        </w:rPr>
        <w:t>,</w:t>
      </w:r>
      <w:r w:rsidRPr="00757B29">
        <w:rPr>
          <w:rFonts w:ascii="Times New Roman" w:hAnsi="Times New Roman" w:cs="Times New Roman"/>
          <w:sz w:val="28"/>
          <w:szCs w:val="28"/>
        </w:rPr>
        <w:t xml:space="preserve">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закупок;</w:t>
      </w:r>
      <w:proofErr w:type="gramEnd"/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 xml:space="preserve">5) в информации, полученной Департаментом, исходя из анализа правовых актов Свердловской области, принятых в соответствии с Законом о контрактной </w:t>
      </w:r>
      <w:r w:rsidR="00675398">
        <w:rPr>
          <w:rFonts w:ascii="Times New Roman" w:hAnsi="Times New Roman" w:cs="Times New Roman"/>
          <w:sz w:val="28"/>
          <w:szCs w:val="28"/>
        </w:rPr>
        <w:t>системе</w:t>
      </w:r>
      <w:r w:rsidRPr="00757B29">
        <w:rPr>
          <w:rFonts w:ascii="Times New Roman" w:hAnsi="Times New Roman" w:cs="Times New Roman"/>
          <w:sz w:val="28"/>
          <w:szCs w:val="28"/>
        </w:rPr>
        <w:t>;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6) во вступивших в законную силу судебных решениях и судебных актах, касающихся вопросов осуществления закупок;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7) в иных открытых источниках.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Мониторинг осуществляется в целях: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B29">
        <w:rPr>
          <w:rFonts w:ascii="Times New Roman" w:hAnsi="Times New Roman" w:cs="Times New Roman"/>
          <w:sz w:val="28"/>
          <w:szCs w:val="28"/>
        </w:rPr>
        <w:t xml:space="preserve">1) оценки степени достижения целей осуществления закупок, определенных в соответствии со </w:t>
      </w:r>
      <w:hyperlink r:id="rId10" w:history="1">
        <w:r w:rsidRPr="00757B29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757B29">
        <w:rPr>
          <w:rFonts w:ascii="Times New Roman" w:hAnsi="Times New Roman" w:cs="Times New Roman"/>
          <w:sz w:val="28"/>
          <w:szCs w:val="28"/>
        </w:rPr>
        <w:t xml:space="preserve"> </w:t>
      </w:r>
      <w:r w:rsidR="002553B6" w:rsidRPr="00757B29">
        <w:rPr>
          <w:rFonts w:ascii="Times New Roman" w:hAnsi="Times New Roman" w:cs="Times New Roman"/>
          <w:sz w:val="28"/>
          <w:szCs w:val="28"/>
        </w:rPr>
        <w:t>Закона о контрактной с</w:t>
      </w:r>
      <w:r w:rsidR="00916ECA" w:rsidRPr="00757B29">
        <w:rPr>
          <w:rFonts w:ascii="Times New Roman" w:hAnsi="Times New Roman" w:cs="Times New Roman"/>
          <w:sz w:val="28"/>
          <w:szCs w:val="28"/>
        </w:rPr>
        <w:t>истем</w:t>
      </w:r>
      <w:r w:rsidR="002553B6" w:rsidRPr="00757B29">
        <w:rPr>
          <w:rFonts w:ascii="Times New Roman" w:hAnsi="Times New Roman" w:cs="Times New Roman"/>
          <w:sz w:val="28"/>
          <w:szCs w:val="28"/>
        </w:rPr>
        <w:t>е</w:t>
      </w:r>
      <w:r w:rsidRPr="00757B29">
        <w:rPr>
          <w:rFonts w:ascii="Times New Roman" w:hAnsi="Times New Roman" w:cs="Times New Roman"/>
          <w:sz w:val="28"/>
          <w:szCs w:val="28"/>
        </w:rPr>
        <w:t xml:space="preserve">, включая достижение целей, предусмотренных государственными программами Свердловской области (в том числе региональными программами, иными документами стратегического и программно-целевого планирования Свердловской области), реализации при осуществлении закупок решений, поручений, указаний Президента Российской Федерации, решений, </w:t>
      </w:r>
      <w:r w:rsidRPr="00757B29">
        <w:rPr>
          <w:rFonts w:ascii="Times New Roman" w:hAnsi="Times New Roman" w:cs="Times New Roman"/>
          <w:sz w:val="28"/>
          <w:szCs w:val="28"/>
        </w:rPr>
        <w:lastRenderedPageBreak/>
        <w:t>поручений Правительства Российской Федерации и Правительства Свердловской области;</w:t>
      </w:r>
      <w:proofErr w:type="gramEnd"/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 xml:space="preserve">2) оценки обоснованности закупок в соответствии со </w:t>
      </w:r>
      <w:hyperlink r:id="rId11" w:history="1">
        <w:r w:rsidRPr="00757B29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757B29">
        <w:rPr>
          <w:rFonts w:ascii="Times New Roman" w:hAnsi="Times New Roman" w:cs="Times New Roman"/>
          <w:sz w:val="28"/>
          <w:szCs w:val="28"/>
        </w:rPr>
        <w:t xml:space="preserve"> </w:t>
      </w:r>
      <w:r w:rsidR="002553B6" w:rsidRPr="00757B29">
        <w:rPr>
          <w:rFonts w:ascii="Times New Roman" w:hAnsi="Times New Roman" w:cs="Times New Roman"/>
          <w:sz w:val="28"/>
          <w:szCs w:val="28"/>
        </w:rPr>
        <w:t xml:space="preserve">Закона о контрактной </w:t>
      </w:r>
      <w:r w:rsidR="00916ECA" w:rsidRPr="00757B29">
        <w:rPr>
          <w:rFonts w:ascii="Times New Roman" w:hAnsi="Times New Roman" w:cs="Times New Roman"/>
          <w:sz w:val="28"/>
          <w:szCs w:val="28"/>
        </w:rPr>
        <w:t>системе</w:t>
      </w:r>
      <w:r w:rsidRPr="00757B29">
        <w:rPr>
          <w:rFonts w:ascii="Times New Roman" w:hAnsi="Times New Roman" w:cs="Times New Roman"/>
          <w:sz w:val="28"/>
          <w:szCs w:val="28"/>
        </w:rPr>
        <w:t>;</w:t>
      </w:r>
    </w:p>
    <w:p w:rsidR="001044C1" w:rsidRPr="00757B29" w:rsidRDefault="001044C1" w:rsidP="00613955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3) совершенствования законодательства о контрактной системе в сфере закупок.</w:t>
      </w:r>
    </w:p>
    <w:p w:rsidR="00E20F6F" w:rsidRDefault="00E20F6F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Аналитический отчет содержит следующ</w:t>
      </w:r>
      <w:r w:rsidR="00CC7761">
        <w:rPr>
          <w:rFonts w:ascii="Times New Roman" w:hAnsi="Times New Roman" w:cs="Times New Roman"/>
          <w:sz w:val="28"/>
          <w:szCs w:val="28"/>
        </w:rPr>
        <w:t>ее</w:t>
      </w:r>
      <w:r w:rsidRPr="00757B29">
        <w:rPr>
          <w:rFonts w:ascii="Times New Roman" w:hAnsi="Times New Roman" w:cs="Times New Roman"/>
          <w:sz w:val="28"/>
          <w:szCs w:val="28"/>
        </w:rPr>
        <w:t>:</w:t>
      </w:r>
    </w:p>
    <w:p w:rsidR="00CC7761" w:rsidRPr="00757B29" w:rsidRDefault="00CC7761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 действующей контрактной системы Свердловской области;</w:t>
      </w:r>
    </w:p>
    <w:p w:rsidR="00E20F6F" w:rsidRDefault="00E20F6F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- анализ планирования и осуществления закупок;</w:t>
      </w:r>
    </w:p>
    <w:p w:rsidR="00CC7761" w:rsidRPr="00757B29" w:rsidRDefault="00CC7761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несостоявшихся процедур;</w:t>
      </w:r>
    </w:p>
    <w:p w:rsidR="00E20F6F" w:rsidRPr="00757B29" w:rsidRDefault="00E20F6F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 xml:space="preserve">- анализ заключенных контрактов; </w:t>
      </w:r>
    </w:p>
    <w:p w:rsidR="00E20F6F" w:rsidRPr="00757B29" w:rsidRDefault="00E20F6F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- анализ сведений о расторгнутых контрактах;</w:t>
      </w:r>
    </w:p>
    <w:p w:rsidR="00E20F6F" w:rsidRDefault="00E20F6F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- анализ исполненных контрактов;</w:t>
      </w:r>
    </w:p>
    <w:p w:rsidR="00CC7761" w:rsidRPr="00757B29" w:rsidRDefault="00CC7761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полномочий Департамента по определению поставщиков, подрядчиков, исполнителей;</w:t>
      </w:r>
    </w:p>
    <w:p w:rsidR="00E20F6F" w:rsidRDefault="00E20F6F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757B29">
        <w:rPr>
          <w:rFonts w:ascii="Times New Roman" w:hAnsi="Times New Roman" w:cs="Times New Roman"/>
          <w:sz w:val="28"/>
          <w:szCs w:val="28"/>
        </w:rPr>
        <w:t>- анализ реестра жалоб, плановых и внеплановых проверок, принятых по ним</w:t>
      </w:r>
      <w:r w:rsidR="00D155D8">
        <w:rPr>
          <w:rFonts w:ascii="Times New Roman" w:hAnsi="Times New Roman" w:cs="Times New Roman"/>
          <w:sz w:val="28"/>
          <w:szCs w:val="28"/>
        </w:rPr>
        <w:t xml:space="preserve"> решений и выданных предписаний;</w:t>
      </w:r>
    </w:p>
    <w:p w:rsidR="00D155D8" w:rsidRDefault="00D155D8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55D8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55D8">
        <w:rPr>
          <w:rFonts w:ascii="Times New Roman" w:hAnsi="Times New Roman" w:cs="Times New Roman"/>
          <w:sz w:val="28"/>
          <w:szCs w:val="28"/>
        </w:rPr>
        <w:t>редложения по совершенствованию законодательства Российской Федерации, Свердловской области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E4F" w:rsidRDefault="00CE6E4F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</w:p>
    <w:p w:rsidR="00CE6E4F" w:rsidRPr="00757B29" w:rsidRDefault="00CE6E4F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</w:p>
    <w:p w:rsidR="00CE6E4F" w:rsidRPr="00CE6E4F" w:rsidRDefault="00CE6E4F" w:rsidP="00CE6E4F">
      <w:pPr>
        <w:widowControl/>
        <w:autoSpaceDE/>
        <w:autoSpaceDN/>
        <w:adjustRightInd/>
        <w:spacing w:line="312" w:lineRule="auto"/>
        <w:ind w:firstLine="53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E6E4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Раздел 1. Контрактная система Свердловской области</w:t>
      </w:r>
    </w:p>
    <w:p w:rsidR="00CE6E4F" w:rsidRDefault="00CE6E4F" w:rsidP="00613955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2A60" w:rsidRDefault="003C0882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2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Контрактная система в сфере закупок</w:t>
      </w:r>
      <w:r w:rsidR="00DF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2A60" w:rsidRPr="00DF2A6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товаров, работ, услуг</w:t>
      </w:r>
      <w:r w:rsidRPr="00757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Свердловской области сформирована. </w:t>
      </w:r>
    </w:p>
    <w:p w:rsidR="00DF2A60" w:rsidRPr="00DF2A60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рамках контрактной системы созданы и функционируют все обязательные структуры. </w:t>
      </w:r>
    </w:p>
    <w:p w:rsidR="00DF2A60" w:rsidRPr="00DF2A60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На областном уровне </w:t>
      </w:r>
      <w:proofErr w:type="gramStart"/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определены</w:t>
      </w:r>
      <w:proofErr w:type="gramEnd"/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: </w:t>
      </w:r>
    </w:p>
    <w:p w:rsidR="00DF2A60" w:rsidRPr="00DF2A60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1. орган, уполномоченный на регулирование контрактной системы в сфере закупок и на определение поставщиков (подрядчиков, исполнителей) для заказчиков Свердловской области путем проведения конкурсов и аукционов с начальной (максимальной) ценой контракта 1 млн. руб. и более, а также на определение поставщиков (подрядчиков, исполнителей) для муниципальных заказчиков при расходовании средств субсидий, предоставляемых из бюджета Свердловской области, в </w:t>
      </w:r>
      <w:proofErr w:type="gramStart"/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случаях</w:t>
      </w:r>
      <w:proofErr w:type="gramEnd"/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если начальная </w:t>
      </w: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(максимальная) цена контракта составляет 10 млн. руб. и более – Департамент государственных закупок Свердловской области; </w:t>
      </w:r>
    </w:p>
    <w:p w:rsidR="00DF2A60" w:rsidRPr="00DF2A60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 орган контроля в сфере закупок и орган внутреннего государственного финансового контроля в сфере закупок – Министерство финансов Свердловской области; </w:t>
      </w:r>
    </w:p>
    <w:p w:rsidR="003C0882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3. орган аудита в сфере закупок – Счётная палата Свердловской области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DF2A60" w:rsidRPr="00757B29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4. з</w:t>
      </w: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аказчиками созданы контрактные службы (назначены контрактные управляющие).</w:t>
      </w:r>
    </w:p>
    <w:p w:rsidR="00DF2A60" w:rsidRPr="00DF2A60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настоящее время, в рамках реализации положений Закона о контрактной системе, в Свердловской области разработана, принята и постоянно совершенствуется обязательная нормативная правовая база в сфере закупок, регулирующая, в том числе, вопросы: </w:t>
      </w:r>
    </w:p>
    <w:p w:rsidR="00DF2A60" w:rsidRPr="00DF2A60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планирования закупок товаров, работ, услуг; </w:t>
      </w:r>
    </w:p>
    <w:p w:rsidR="00DF2A60" w:rsidRPr="00DF2A60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нормирования закупок товаров, работ, услуг;</w:t>
      </w:r>
    </w:p>
    <w:p w:rsidR="00DF2A60" w:rsidRPr="00DF2A60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мониторинга закупок товаров, работ, услуг; </w:t>
      </w:r>
    </w:p>
    <w:p w:rsidR="00DF2A60" w:rsidRDefault="00DF2A60" w:rsidP="00DF2A60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iCs/>
          <w:sz w:val="28"/>
          <w:szCs w:val="28"/>
          <w:highlight w:val="yellow"/>
          <w:lang w:eastAsia="en-US"/>
        </w:rPr>
      </w:pPr>
      <w:r w:rsidRPr="00DF2A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информационного обеспечения контрактной системы в сфере закупок товаров, работ, услуг в Свердловской области.</w:t>
      </w:r>
    </w:p>
    <w:p w:rsidR="003C0882" w:rsidRDefault="003C0882" w:rsidP="00613955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полугодии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="003F6149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5248BB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регулятор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контрактной системы в Свердловской области</w:t>
      </w:r>
      <w:r w:rsidR="005248BB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</w:t>
      </w:r>
      <w:r w:rsidR="00DF2A60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ны</w:t>
      </w:r>
      <w:r w:rsidR="001934E8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Правительством Свердловской области приняты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934E8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4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прав</w:t>
      </w:r>
      <w:r w:rsidR="008E6335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овых акт</w:t>
      </w:r>
      <w:r w:rsidR="001934E8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6335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Свердловской области в сфере закупок товаров, работу, услуг</w:t>
      </w:r>
      <w:r w:rsidR="001934E8"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934E8" w:rsidRDefault="001934E8" w:rsidP="001934E8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proofErr w:type="gramStart"/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сокращения количества нарушений требований законодательства</w:t>
      </w:r>
      <w:proofErr w:type="gramEnd"/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контрактной системе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Департаментом осуществляется 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и совершенствование типовых (унифицированных) форм документаций о закупках, типовых форм контрактов и типовых условий контрактов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2109C" w:rsidRPr="00D2109C" w:rsidRDefault="001934E8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934E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полугодии 2018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разработаны и утверждены приказами Департамента </w:t>
      </w:r>
      <w:r w:rsidR="00D2109C"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типовые контракты и типовые описания объектов закупки по следующим видам услуг: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услуг по организации питания, в том числе в медицинских учреждениях; 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услуг по организации школьного питания; </w:t>
      </w:r>
    </w:p>
    <w:p w:rsid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услуг по организации питания детей и сотрудников в загородном оздоровительном лагере (школе).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Также, </w:t>
      </w:r>
      <w:r w:rsidRPr="001934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разработаны и утверждены приказами Департамента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типовые условия: 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банковскому сопровождению государственного контракта, заключаемого для обеспечения нужд Свердловской области; 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ответственности сторон государственного контракта, заключаемого для обеспечения нужд Свердловской области; 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расторжении государственного контракта, заключаемого для обеспечения нужд Свердловской области;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условие, включаемое в типовой контракт на поставку лекарственных препаратов для медицинского применения, утвержденный приказом Министерства здравоохранения Российской Федерации от 26.10.2017 № 870н.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Кроме этого, ведется работа по корректировке типовых контрактов и типовых описаний объектов закупки по следующим видам работ: 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выполнение работ по капитальному ремонту объектов капитального строительства; 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выполнение работ по текущему ремонту здания, сооружения. 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Разработаны и направлены на согласование в установленном порядке типовые контракты и типовые описания объектов закупки на поставку: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товаров; 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продуктов питания; 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автомобиля; </w:t>
      </w:r>
    </w:p>
    <w:p w:rsidR="00D2109C" w:rsidRPr="00D2109C" w:rsidRDefault="00D2109C" w:rsidP="00D2109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нефтепродуктов. </w:t>
      </w:r>
    </w:p>
    <w:p w:rsidR="003C0882" w:rsidRPr="00757B29" w:rsidRDefault="003C0882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0882" w:rsidRPr="00757B29" w:rsidRDefault="003C0882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0FAD" w:rsidRPr="00C2212D" w:rsidRDefault="006933B3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1B1728" w:rsidRPr="00C2212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>. Анализ планирования закупок</w:t>
      </w:r>
    </w:p>
    <w:p w:rsidR="00886C65" w:rsidRPr="00C2212D" w:rsidRDefault="00886C65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78" w:rsidRPr="00C2212D" w:rsidRDefault="005F6578" w:rsidP="00613955">
      <w:pPr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2212D">
        <w:rPr>
          <w:rFonts w:ascii="Times New Roman" w:hAnsi="Times New Roman" w:cs="Times New Roman"/>
          <w:sz w:val="28"/>
          <w:szCs w:val="28"/>
        </w:rPr>
        <w:t xml:space="preserve">В соответствии со статьей 17 Закона о контрактной системе </w:t>
      </w:r>
      <w:r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планы закупок формируются заказчиками исходя из целей осуществления закупок, определенных с учетом положений </w:t>
      </w:r>
      <w:hyperlink r:id="rId12" w:history="1">
        <w:r w:rsidRPr="00C2212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13</w:t>
        </w:r>
      </w:hyperlink>
      <w:r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6C2E" w:rsidRPr="00C2212D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с учетом установленных требований к закупаемым заказчиками товарам, работам, услугам (в том числе</w:t>
      </w:r>
      <w:r w:rsidR="00D2109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предельной цены товаров, работ, услуг) и (или) нормативных затрат на обеспечение функций государственных органов, органов управления государственными</w:t>
      </w:r>
      <w:proofErr w:type="gramEnd"/>
      <w:r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внебюджетными фондами, муниципальных органов.</w:t>
      </w:r>
    </w:p>
    <w:p w:rsidR="005F6578" w:rsidRPr="00C2212D" w:rsidRDefault="00114D8A" w:rsidP="00613955">
      <w:pPr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постановлением Правительства Свердловской области от 22.07.2015 № 661-ПП «Об утверждении Порядка формирования, утверждения и ведения планов закупок для обеспечения нужд Свердловской </w:t>
      </w:r>
      <w:r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области», постановлением Правительства Свердловской области </w:t>
      </w:r>
      <w:r w:rsidR="005248BB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22.07.2015 № 660-ПП «Об утверждении Порядка формирования, утверждения и ведения плана-графика закупок для обеспечения нужд Свердловской области», п</w:t>
      </w:r>
      <w:r w:rsidR="005F6578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 закупок формируется государственным заказчико</w:t>
      </w:r>
      <w:r w:rsidR="00C66382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в соответствии с требованиями, </w:t>
      </w:r>
      <w:r w:rsidR="005F6578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процессе составления и рассмотрения проектов</w:t>
      </w:r>
      <w:proofErr w:type="gramEnd"/>
      <w:r w:rsidR="005F6578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бюджетов бюджетной системы Российской Федерации с учетом положений бюджетного законодательства Российской Федерации </w:t>
      </w:r>
      <w:r w:rsidR="00C66382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5F6578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утверждается в </w:t>
      </w:r>
      <w:r w:rsidR="005F6578" w:rsidRPr="00C221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течение десяти рабочих дней</w:t>
      </w:r>
      <w:r w:rsidR="005F6578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доведения до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86E60" w:rsidRPr="00C2212D" w:rsidRDefault="00386E60" w:rsidP="00613955">
      <w:pPr>
        <w:widowControl/>
        <w:autoSpaceDE/>
        <w:autoSpaceDN/>
        <w:adjustRightInd/>
        <w:spacing w:line="312" w:lineRule="auto"/>
        <w:ind w:left="-284" w:right="141" w:firstLine="53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E3B" w:rsidRPr="00C2212D" w:rsidRDefault="00292D49" w:rsidP="00613955">
      <w:pPr>
        <w:widowControl/>
        <w:autoSpaceDE/>
        <w:autoSpaceDN/>
        <w:adjustRightInd/>
        <w:spacing w:line="312" w:lineRule="auto"/>
        <w:ind w:left="-284" w:right="141" w:firstLine="53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2212D">
        <w:rPr>
          <w:rFonts w:ascii="Times New Roman" w:hAnsi="Times New Roman" w:cs="Times New Roman"/>
          <w:i/>
          <w:sz w:val="20"/>
          <w:szCs w:val="20"/>
        </w:rPr>
        <w:t xml:space="preserve">Таблица №1 </w:t>
      </w:r>
    </w:p>
    <w:p w:rsidR="00292D49" w:rsidRPr="00C2212D" w:rsidRDefault="00292D49" w:rsidP="00613955">
      <w:pPr>
        <w:widowControl/>
        <w:autoSpaceDE/>
        <w:autoSpaceDN/>
        <w:adjustRightInd/>
        <w:spacing w:line="312" w:lineRule="auto"/>
        <w:ind w:left="-284" w:right="141" w:firstLine="53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2212D">
        <w:rPr>
          <w:rFonts w:ascii="Times New Roman" w:hAnsi="Times New Roman" w:cs="Times New Roman"/>
          <w:i/>
          <w:sz w:val="20"/>
          <w:szCs w:val="20"/>
        </w:rPr>
        <w:t>Информация о планировании закупок товаров, работ, услуг с разбивкой по способам определения поставщика (подрядчика, исполнителя)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2126"/>
        <w:gridCol w:w="2268"/>
      </w:tblGrid>
      <w:tr w:rsidR="00A018E7" w:rsidRPr="00C2212D" w:rsidTr="00A018E7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12D">
              <w:rPr>
                <w:rFonts w:ascii="Times New Roman" w:hAnsi="Times New Roman" w:cs="Times New Roman"/>
                <w:b/>
                <w:bCs/>
              </w:rPr>
              <w:t>Способ определения поставщика (подрядчика, исполнителя)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12D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12D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12D">
              <w:rPr>
                <w:rFonts w:ascii="Times New Roman" w:hAnsi="Times New Roman" w:cs="Times New Roman"/>
                <w:b/>
                <w:bCs/>
              </w:rPr>
              <w:t>(млн. 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8E7" w:rsidRPr="00C2212D" w:rsidRDefault="00702378" w:rsidP="000807CC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12D">
              <w:rPr>
                <w:rFonts w:ascii="Times New Roman" w:hAnsi="Times New Roman" w:cs="Times New Roman"/>
                <w:b/>
                <w:bCs/>
              </w:rPr>
              <w:t xml:space="preserve">Доля в общем </w:t>
            </w:r>
            <w:r w:rsidR="000807CC" w:rsidRPr="00C2212D">
              <w:rPr>
                <w:rFonts w:ascii="Times New Roman" w:hAnsi="Times New Roman" w:cs="Times New Roman"/>
                <w:b/>
                <w:bCs/>
              </w:rPr>
              <w:t xml:space="preserve">количестве </w:t>
            </w:r>
            <w:r w:rsidRPr="00C2212D">
              <w:rPr>
                <w:rFonts w:ascii="Times New Roman" w:hAnsi="Times New Roman" w:cs="Times New Roman"/>
                <w:b/>
                <w:bCs/>
              </w:rPr>
              <w:t>закупок</w:t>
            </w:r>
          </w:p>
        </w:tc>
      </w:tr>
      <w:tr w:rsidR="00A018E7" w:rsidRPr="00C2212D" w:rsidTr="00A018E7">
        <w:trPr>
          <w:trHeight w:val="4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открытые конкурсы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442,2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8E7" w:rsidRPr="00C2212D" w:rsidRDefault="000807CC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</w:tr>
      <w:tr w:rsidR="00A018E7" w:rsidRPr="00C2212D" w:rsidTr="00A018E7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открытые конкурсы с ограниченным участием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8E7" w:rsidRPr="00C2212D" w:rsidRDefault="000807CC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</w:tr>
      <w:tr w:rsidR="00A018E7" w:rsidRPr="00C2212D" w:rsidTr="00A018E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открытые двухэтапные конкурсы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8E7" w:rsidRPr="00C2212D" w:rsidTr="00A018E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электронные аукционы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14371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19651,6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8E7" w:rsidRPr="00C2212D" w:rsidRDefault="000807CC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A018E7" w:rsidRPr="00C2212D" w:rsidTr="00A018E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запросы котировок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2357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287,41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8E7" w:rsidRPr="00C2212D" w:rsidRDefault="000807CC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11,78</w:t>
            </w:r>
          </w:p>
        </w:tc>
      </w:tr>
      <w:tr w:rsidR="00A018E7" w:rsidRPr="00C2212D" w:rsidTr="00A018E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запросы предложений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11,77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8E7" w:rsidRPr="00C2212D" w:rsidRDefault="000807CC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</w:tr>
      <w:tr w:rsidR="00A018E7" w:rsidRPr="00C2212D" w:rsidTr="00A018E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закупки у единственного поставщика (подрядчика, исполнителя)*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3083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2398,0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8E7" w:rsidRPr="00C2212D" w:rsidRDefault="000807CC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15,42</w:t>
            </w:r>
          </w:p>
        </w:tc>
      </w:tr>
      <w:tr w:rsidR="00A018E7" w:rsidRPr="00C2212D" w:rsidTr="00A018E7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E7" w:rsidRPr="00C2212D" w:rsidRDefault="00A018E7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C2212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212D">
              <w:rPr>
                <w:rFonts w:ascii="Times New Roman" w:hAnsi="Times New Roman" w:cs="Times New Roman"/>
                <w:b/>
              </w:rPr>
              <w:t>19 974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7" w:rsidRPr="00C2212D" w:rsidRDefault="00C724A9" w:rsidP="001C75A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212D">
              <w:rPr>
                <w:rFonts w:ascii="Times New Roman" w:hAnsi="Times New Roman" w:cs="Times New Roman"/>
                <w:b/>
              </w:rPr>
              <w:t>22 832,4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8E7" w:rsidRPr="00C2212D" w:rsidRDefault="00081D2E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212D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</w:tbl>
    <w:p w:rsidR="00C66382" w:rsidRPr="00C2212D" w:rsidRDefault="00C66382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AE061E" w:rsidRPr="00C2212D" w:rsidRDefault="00AE061E" w:rsidP="00613955">
      <w:pPr>
        <w:spacing w:line="312" w:lineRule="auto"/>
        <w:ind w:right="141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В </w:t>
      </w:r>
      <w:r w:rsidR="00106AB7" w:rsidRPr="00C2212D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DE4939" w:rsidRPr="00C2212D">
        <w:rPr>
          <w:rFonts w:ascii="Times New Roman" w:hAnsi="Times New Roman" w:cs="Times New Roman"/>
          <w:sz w:val="28"/>
          <w:szCs w:val="28"/>
        </w:rPr>
        <w:t>201</w:t>
      </w:r>
      <w:r w:rsidR="00106AB7" w:rsidRPr="00C2212D">
        <w:rPr>
          <w:rFonts w:ascii="Times New Roman" w:hAnsi="Times New Roman" w:cs="Times New Roman"/>
          <w:sz w:val="28"/>
          <w:szCs w:val="28"/>
        </w:rPr>
        <w:t>8</w:t>
      </w:r>
      <w:r w:rsidR="00DE4939" w:rsidRPr="00C2212D">
        <w:rPr>
          <w:rFonts w:ascii="Times New Roman" w:hAnsi="Times New Roman" w:cs="Times New Roman"/>
          <w:sz w:val="28"/>
          <w:szCs w:val="28"/>
        </w:rPr>
        <w:t xml:space="preserve"> год</w:t>
      </w:r>
      <w:r w:rsidR="00106AB7" w:rsidRPr="00C2212D">
        <w:rPr>
          <w:rFonts w:ascii="Times New Roman" w:hAnsi="Times New Roman" w:cs="Times New Roman"/>
          <w:sz w:val="28"/>
          <w:szCs w:val="28"/>
        </w:rPr>
        <w:t>а</w:t>
      </w:r>
      <w:r w:rsidR="00AC5F4E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было запланировано </w:t>
      </w:r>
      <w:r w:rsidR="003D711E" w:rsidRPr="00C2212D">
        <w:rPr>
          <w:rFonts w:ascii="Times New Roman" w:hAnsi="Times New Roman" w:cs="Times New Roman"/>
          <w:b/>
          <w:i/>
          <w:sz w:val="28"/>
          <w:szCs w:val="28"/>
        </w:rPr>
        <w:t>19 974</w:t>
      </w:r>
      <w:r w:rsidR="00106AB7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 процедур на общую сумму </w:t>
      </w:r>
      <w:r w:rsidR="003D711E" w:rsidRPr="00C2212D">
        <w:rPr>
          <w:rFonts w:ascii="Times New Roman" w:hAnsi="Times New Roman" w:cs="Times New Roman"/>
          <w:b/>
          <w:i/>
          <w:sz w:val="28"/>
          <w:szCs w:val="28"/>
        </w:rPr>
        <w:t>22 832,4</w:t>
      </w:r>
      <w:r w:rsidR="00FC1FE6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 млн. рублей из них опубликованы </w:t>
      </w:r>
      <w:r w:rsidR="008E6335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711E" w:rsidRPr="00C2212D">
        <w:rPr>
          <w:rFonts w:ascii="Times New Roman" w:hAnsi="Times New Roman" w:cs="Times New Roman"/>
          <w:b/>
          <w:i/>
          <w:sz w:val="28"/>
          <w:szCs w:val="28"/>
        </w:rPr>
        <w:t>19 808</w:t>
      </w:r>
      <w:r w:rsidR="00AC5F4E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6A659E" w:rsidRPr="00C2212D">
        <w:rPr>
          <w:rFonts w:ascii="Times New Roman" w:hAnsi="Times New Roman" w:cs="Times New Roman"/>
          <w:sz w:val="28"/>
          <w:szCs w:val="28"/>
        </w:rPr>
        <w:t>я</w:t>
      </w:r>
      <w:r w:rsidRPr="00C2212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3D711E" w:rsidRPr="00C2212D">
        <w:rPr>
          <w:rFonts w:ascii="Times New Roman" w:hAnsi="Times New Roman" w:cs="Times New Roman"/>
          <w:b/>
          <w:i/>
          <w:sz w:val="28"/>
          <w:szCs w:val="28"/>
        </w:rPr>
        <w:t>22 823,45</w:t>
      </w:r>
      <w:r w:rsidR="00AC5F4E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AC5F4E" w:rsidRPr="00C2212D" w:rsidRDefault="00AC5F4E" w:rsidP="00613955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Условное исполнение плана – графика составляет </w:t>
      </w:r>
      <w:r w:rsidR="003D711E" w:rsidRPr="00675398">
        <w:rPr>
          <w:rFonts w:ascii="Times New Roman" w:hAnsi="Times New Roman" w:cs="Times New Roman"/>
          <w:b/>
          <w:i/>
          <w:sz w:val="28"/>
          <w:szCs w:val="28"/>
        </w:rPr>
        <w:t>99</w:t>
      </w:r>
      <w:r w:rsidRPr="0067539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675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398" w:rsidRPr="00675398">
        <w:rPr>
          <w:rFonts w:ascii="Times New Roman" w:hAnsi="Times New Roman" w:cs="Times New Roman"/>
          <w:sz w:val="28"/>
          <w:szCs w:val="28"/>
        </w:rPr>
        <w:t>(</w:t>
      </w:r>
      <w:r w:rsidR="00675398">
        <w:rPr>
          <w:rFonts w:ascii="Times New Roman" w:hAnsi="Times New Roman" w:cs="Times New Roman"/>
          <w:sz w:val="28"/>
          <w:szCs w:val="28"/>
        </w:rPr>
        <w:t xml:space="preserve">в </w:t>
      </w:r>
      <w:r w:rsidR="006753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5398" w:rsidRPr="00675398">
        <w:rPr>
          <w:rFonts w:ascii="Times New Roman" w:hAnsi="Times New Roman" w:cs="Times New Roman"/>
          <w:sz w:val="28"/>
          <w:szCs w:val="28"/>
        </w:rPr>
        <w:t xml:space="preserve"> </w:t>
      </w:r>
      <w:r w:rsidR="00675398">
        <w:rPr>
          <w:rFonts w:ascii="Times New Roman" w:hAnsi="Times New Roman" w:cs="Times New Roman"/>
          <w:sz w:val="28"/>
          <w:szCs w:val="28"/>
        </w:rPr>
        <w:t xml:space="preserve">полугодии 2017 года – </w:t>
      </w:r>
      <w:r w:rsidR="00675398" w:rsidRPr="00675398">
        <w:rPr>
          <w:rFonts w:ascii="Times New Roman" w:hAnsi="Times New Roman" w:cs="Times New Roman"/>
          <w:b/>
          <w:i/>
          <w:sz w:val="28"/>
          <w:szCs w:val="28"/>
        </w:rPr>
        <w:t>89 %</w:t>
      </w:r>
      <w:r w:rsidR="00675398">
        <w:rPr>
          <w:rFonts w:ascii="Times New Roman" w:hAnsi="Times New Roman" w:cs="Times New Roman"/>
          <w:sz w:val="28"/>
          <w:szCs w:val="28"/>
        </w:rPr>
        <w:t>)</w:t>
      </w:r>
      <w:r w:rsidRPr="00C2212D">
        <w:rPr>
          <w:rFonts w:ascii="Times New Roman" w:hAnsi="Times New Roman" w:cs="Times New Roman"/>
          <w:sz w:val="28"/>
          <w:szCs w:val="28"/>
        </w:rPr>
        <w:t>.</w:t>
      </w:r>
    </w:p>
    <w:p w:rsidR="004972CD" w:rsidRPr="00C2212D" w:rsidRDefault="00CE5C08" w:rsidP="004972CD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451759" w:rsidRPr="00C221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212D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высокий процент внесения </w:t>
      </w:r>
      <w:r w:rsidRPr="00C2212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плановые документы – на </w:t>
      </w:r>
      <w:r w:rsidR="003D711E" w:rsidRPr="00C2212D">
        <w:rPr>
          <w:rFonts w:ascii="Times New Roman" w:hAnsi="Times New Roman" w:cs="Times New Roman"/>
          <w:b/>
          <w:i/>
          <w:sz w:val="28"/>
          <w:szCs w:val="28"/>
        </w:rPr>
        <w:t>19 974</w:t>
      </w:r>
      <w:r w:rsidR="00137212" w:rsidRPr="00C2212D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EA12AF" w:rsidRPr="00C2212D">
        <w:rPr>
          <w:rFonts w:ascii="Times New Roman" w:hAnsi="Times New Roman" w:cs="Times New Roman"/>
          <w:sz w:val="28"/>
          <w:szCs w:val="28"/>
        </w:rPr>
        <w:t>ых строк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5A068F" w:rsidRPr="00C2212D">
        <w:rPr>
          <w:rFonts w:ascii="Times New Roman" w:hAnsi="Times New Roman" w:cs="Times New Roman"/>
          <w:sz w:val="28"/>
          <w:szCs w:val="28"/>
        </w:rPr>
        <w:br/>
      </w:r>
      <w:r w:rsidRPr="00C2212D">
        <w:rPr>
          <w:rFonts w:ascii="Times New Roman" w:hAnsi="Times New Roman" w:cs="Times New Roman"/>
          <w:sz w:val="28"/>
          <w:szCs w:val="28"/>
        </w:rPr>
        <w:t xml:space="preserve">в </w:t>
      </w:r>
      <w:r w:rsidR="003D711E" w:rsidRPr="00C2212D">
        <w:rPr>
          <w:rFonts w:ascii="Times New Roman" w:hAnsi="Times New Roman" w:cs="Times New Roman"/>
          <w:sz w:val="28"/>
          <w:szCs w:val="28"/>
        </w:rPr>
        <w:t>первом полугодии 2018 года</w:t>
      </w:r>
      <w:r w:rsidR="00F511DF" w:rsidRPr="00C2212D">
        <w:rPr>
          <w:rFonts w:ascii="Times New Roman" w:hAnsi="Times New Roman" w:cs="Times New Roman"/>
          <w:sz w:val="28"/>
          <w:szCs w:val="28"/>
        </w:rPr>
        <w:t xml:space="preserve">, изменения вносились в </w:t>
      </w:r>
      <w:r w:rsidR="00207D95" w:rsidRPr="00C2212D">
        <w:rPr>
          <w:rFonts w:ascii="Times New Roman" w:hAnsi="Times New Roman" w:cs="Times New Roman"/>
          <w:b/>
          <w:i/>
          <w:sz w:val="28"/>
          <w:szCs w:val="28"/>
        </w:rPr>
        <w:t>10 838</w:t>
      </w:r>
      <w:r w:rsidR="004972C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F511DF" w:rsidRPr="00C2212D">
        <w:rPr>
          <w:rFonts w:ascii="Times New Roman" w:hAnsi="Times New Roman" w:cs="Times New Roman"/>
          <w:sz w:val="28"/>
          <w:szCs w:val="28"/>
        </w:rPr>
        <w:t>строк</w:t>
      </w:r>
      <w:r w:rsidR="00207D95" w:rsidRPr="00C2212D">
        <w:rPr>
          <w:rFonts w:ascii="Times New Roman" w:hAnsi="Times New Roman" w:cs="Times New Roman"/>
          <w:sz w:val="28"/>
          <w:szCs w:val="28"/>
        </w:rPr>
        <w:t xml:space="preserve"> (54% всех позиций сводного плана графика)</w:t>
      </w:r>
      <w:r w:rsidR="00F511DF" w:rsidRPr="00C2212D">
        <w:rPr>
          <w:rFonts w:ascii="Times New Roman" w:hAnsi="Times New Roman" w:cs="Times New Roman"/>
          <w:sz w:val="28"/>
          <w:szCs w:val="28"/>
        </w:rPr>
        <w:t xml:space="preserve">, при этом общее количество вносимых изменений составило </w:t>
      </w:r>
      <w:r w:rsidR="00207D95" w:rsidRPr="00C2212D">
        <w:rPr>
          <w:rFonts w:ascii="Times New Roman" w:hAnsi="Times New Roman" w:cs="Times New Roman"/>
          <w:b/>
          <w:i/>
          <w:sz w:val="28"/>
          <w:szCs w:val="28"/>
        </w:rPr>
        <w:t>17 957</w:t>
      </w:r>
      <w:r w:rsidR="00F511DF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F3D54" w:rsidRPr="00C2212D">
        <w:rPr>
          <w:rFonts w:ascii="Times New Roman" w:hAnsi="Times New Roman" w:cs="Times New Roman"/>
          <w:sz w:val="28"/>
          <w:szCs w:val="28"/>
        </w:rPr>
        <w:t>или в среднем</w:t>
      </w:r>
      <w:r w:rsidR="00CF436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207D95" w:rsidRPr="00C2212D">
        <w:rPr>
          <w:rFonts w:ascii="Times New Roman" w:hAnsi="Times New Roman" w:cs="Times New Roman"/>
          <w:b/>
          <w:i/>
          <w:sz w:val="28"/>
          <w:szCs w:val="28"/>
        </w:rPr>
        <w:t>1,6</w:t>
      </w:r>
      <w:r w:rsidR="00AF3D54" w:rsidRPr="00C2212D">
        <w:rPr>
          <w:rFonts w:ascii="Times New Roman" w:hAnsi="Times New Roman" w:cs="Times New Roman"/>
          <w:sz w:val="28"/>
          <w:szCs w:val="28"/>
        </w:rPr>
        <w:t xml:space="preserve"> изменения на каждую плановую строку</w:t>
      </w:r>
      <w:r w:rsidR="00F511DF" w:rsidRPr="00C2212D">
        <w:rPr>
          <w:rFonts w:ascii="Times New Roman" w:hAnsi="Times New Roman" w:cs="Times New Roman"/>
          <w:sz w:val="28"/>
          <w:szCs w:val="28"/>
        </w:rPr>
        <w:t xml:space="preserve"> с изменениями. </w:t>
      </w:r>
    </w:p>
    <w:p w:rsidR="004972CD" w:rsidRPr="00C2212D" w:rsidRDefault="004972CD" w:rsidP="004972CD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Основываясь на анализе данных </w:t>
      </w:r>
      <w:r w:rsidR="009D1082" w:rsidRPr="00C2212D">
        <w:rPr>
          <w:rFonts w:ascii="Times New Roman" w:hAnsi="Times New Roman" w:cs="Times New Roman"/>
          <w:sz w:val="28"/>
          <w:szCs w:val="28"/>
        </w:rPr>
        <w:t>исполнени</w:t>
      </w:r>
      <w:r w:rsidR="009D1082">
        <w:rPr>
          <w:rFonts w:ascii="Times New Roman" w:hAnsi="Times New Roman" w:cs="Times New Roman"/>
          <w:sz w:val="28"/>
          <w:szCs w:val="28"/>
        </w:rPr>
        <w:t>я</w:t>
      </w:r>
      <w:r w:rsidR="009D1082" w:rsidRPr="00C2212D">
        <w:rPr>
          <w:rFonts w:ascii="Times New Roman" w:hAnsi="Times New Roman" w:cs="Times New Roman"/>
          <w:sz w:val="28"/>
          <w:szCs w:val="28"/>
        </w:rPr>
        <w:t xml:space="preserve"> плана – графика</w:t>
      </w:r>
      <w:r w:rsidRPr="00C2212D">
        <w:rPr>
          <w:rFonts w:ascii="Times New Roman" w:hAnsi="Times New Roman" w:cs="Times New Roman"/>
          <w:sz w:val="28"/>
          <w:szCs w:val="28"/>
        </w:rPr>
        <w:t xml:space="preserve">, </w:t>
      </w:r>
      <w:r w:rsidR="00A10054">
        <w:rPr>
          <w:rFonts w:ascii="Times New Roman" w:hAnsi="Times New Roman" w:cs="Times New Roman"/>
          <w:sz w:val="28"/>
          <w:szCs w:val="28"/>
        </w:rPr>
        <w:t>наблюдается</w:t>
      </w:r>
      <w:r w:rsidR="00207D95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>положительн</w:t>
      </w:r>
      <w:r w:rsidR="00A10054">
        <w:rPr>
          <w:rFonts w:ascii="Times New Roman" w:hAnsi="Times New Roman" w:cs="Times New Roman"/>
          <w:sz w:val="28"/>
          <w:szCs w:val="28"/>
        </w:rPr>
        <w:t>ая</w:t>
      </w:r>
      <w:r w:rsidRPr="00C2212D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A10054">
        <w:rPr>
          <w:rFonts w:ascii="Times New Roman" w:hAnsi="Times New Roman" w:cs="Times New Roman"/>
          <w:sz w:val="28"/>
          <w:szCs w:val="28"/>
        </w:rPr>
        <w:t>я</w:t>
      </w:r>
      <w:r w:rsidRPr="00C2212D">
        <w:rPr>
          <w:rFonts w:ascii="Times New Roman" w:hAnsi="Times New Roman" w:cs="Times New Roman"/>
          <w:sz w:val="28"/>
          <w:szCs w:val="28"/>
        </w:rPr>
        <w:t xml:space="preserve"> по более разумному и грамотному планированию, </w:t>
      </w:r>
      <w:r w:rsidR="00A10054">
        <w:rPr>
          <w:rFonts w:ascii="Times New Roman" w:hAnsi="Times New Roman" w:cs="Times New Roman"/>
          <w:sz w:val="28"/>
          <w:szCs w:val="28"/>
        </w:rPr>
        <w:t>что</w:t>
      </w:r>
      <w:r w:rsidRPr="00C2212D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A10054">
        <w:rPr>
          <w:rFonts w:ascii="Times New Roman" w:hAnsi="Times New Roman" w:cs="Times New Roman"/>
          <w:sz w:val="28"/>
          <w:szCs w:val="28"/>
        </w:rPr>
        <w:t>о</w:t>
      </w:r>
      <w:r w:rsidRPr="00C2212D">
        <w:rPr>
          <w:rFonts w:ascii="Times New Roman" w:hAnsi="Times New Roman" w:cs="Times New Roman"/>
          <w:sz w:val="28"/>
          <w:szCs w:val="28"/>
        </w:rPr>
        <w:t xml:space="preserve"> с постоянно проводимой Департаментом  методической работой, именно по теме планирования составления и ведения планов закупок, и планов графиков закупок.</w:t>
      </w:r>
    </w:p>
    <w:p w:rsidR="005248BB" w:rsidRPr="00C2212D" w:rsidRDefault="005248BB" w:rsidP="00613955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</w:p>
    <w:p w:rsidR="009D1082" w:rsidRDefault="009D1082" w:rsidP="005248BB">
      <w:pPr>
        <w:spacing w:line="312" w:lineRule="auto"/>
        <w:ind w:right="141" w:firstLine="539"/>
        <w:jc w:val="right"/>
        <w:rPr>
          <w:rFonts w:ascii="Times New Roman" w:hAnsi="Times New Roman" w:cs="Times New Roman"/>
          <w:i/>
        </w:rPr>
      </w:pPr>
    </w:p>
    <w:p w:rsidR="002941DD" w:rsidRPr="00C2212D" w:rsidRDefault="002941DD" w:rsidP="005248BB">
      <w:pPr>
        <w:spacing w:line="312" w:lineRule="auto"/>
        <w:ind w:right="141" w:firstLine="539"/>
        <w:jc w:val="right"/>
        <w:rPr>
          <w:rFonts w:ascii="Times New Roman" w:hAnsi="Times New Roman" w:cs="Times New Roman"/>
          <w:i/>
        </w:rPr>
      </w:pPr>
      <w:r w:rsidRPr="00C2212D">
        <w:rPr>
          <w:rFonts w:ascii="Times New Roman" w:hAnsi="Times New Roman" w:cs="Times New Roman"/>
          <w:i/>
        </w:rPr>
        <w:t xml:space="preserve">Диаграмма № </w:t>
      </w:r>
      <w:r w:rsidR="00D61922" w:rsidRPr="00C2212D">
        <w:rPr>
          <w:rFonts w:ascii="Times New Roman" w:hAnsi="Times New Roman" w:cs="Times New Roman"/>
          <w:i/>
        </w:rPr>
        <w:t>1</w:t>
      </w:r>
    </w:p>
    <w:p w:rsidR="005E2093" w:rsidRPr="00C2212D" w:rsidRDefault="00140037" w:rsidP="005248BB">
      <w:pPr>
        <w:spacing w:line="312" w:lineRule="auto"/>
        <w:ind w:right="141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i/>
        </w:rPr>
        <w:t xml:space="preserve">Анализ </w:t>
      </w:r>
      <w:r w:rsidR="00485276" w:rsidRPr="00C2212D">
        <w:rPr>
          <w:rFonts w:ascii="Times New Roman" w:hAnsi="Times New Roman" w:cs="Times New Roman"/>
          <w:i/>
        </w:rPr>
        <w:t xml:space="preserve">по основаниям внесения </w:t>
      </w:r>
      <w:r w:rsidR="002941DD" w:rsidRPr="00C2212D">
        <w:rPr>
          <w:rFonts w:ascii="Times New Roman" w:hAnsi="Times New Roman" w:cs="Times New Roman"/>
          <w:i/>
        </w:rPr>
        <w:t>изменений</w:t>
      </w:r>
      <w:r w:rsidR="00403110" w:rsidRPr="00C2212D">
        <w:rPr>
          <w:rFonts w:ascii="Times New Roman" w:hAnsi="Times New Roman" w:cs="Times New Roman"/>
          <w:i/>
        </w:rPr>
        <w:t xml:space="preserve"> в план-график </w:t>
      </w:r>
      <w:r w:rsidR="00B003D4" w:rsidRPr="00C2212D">
        <w:rPr>
          <w:rFonts w:ascii="Times New Roman" w:hAnsi="Times New Roman" w:cs="Times New Roman"/>
          <w:i/>
          <w:lang w:val="en-US"/>
        </w:rPr>
        <w:t>I</w:t>
      </w:r>
      <w:r w:rsidR="00B003D4" w:rsidRPr="00C2212D">
        <w:rPr>
          <w:rFonts w:ascii="Times New Roman" w:hAnsi="Times New Roman" w:cs="Times New Roman"/>
          <w:i/>
        </w:rPr>
        <w:t xml:space="preserve"> полугодие 2018 </w:t>
      </w:r>
      <w:r w:rsidR="00403110" w:rsidRPr="00C2212D">
        <w:rPr>
          <w:rFonts w:ascii="Times New Roman" w:hAnsi="Times New Roman" w:cs="Times New Roman"/>
          <w:i/>
        </w:rPr>
        <w:t xml:space="preserve">г. </w:t>
      </w:r>
      <w:r w:rsidR="005E2093" w:rsidRPr="00C221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7A3CCC" wp14:editId="1A7B13E9">
            <wp:extent cx="5943600" cy="3582786"/>
            <wp:effectExtent l="0" t="0" r="1905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5A82" w:rsidRPr="00C2212D" w:rsidRDefault="00485276" w:rsidP="00613955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«возникновение обстоятельств, предвидеть которые на дату утверждения плана-графика закупок было невозможно» </w:t>
      </w:r>
      <w:r w:rsidR="00455A82"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207D95" w:rsidRPr="00C2212D">
        <w:rPr>
          <w:rFonts w:ascii="Times New Roman" w:hAnsi="Times New Roman" w:cs="Times New Roman"/>
          <w:b/>
          <w:i/>
          <w:sz w:val="28"/>
          <w:szCs w:val="28"/>
        </w:rPr>
        <w:t>9045</w:t>
      </w:r>
      <w:r w:rsidR="00207D95" w:rsidRPr="00C2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A82" w:rsidRPr="00C2212D">
        <w:rPr>
          <w:rFonts w:ascii="Times New Roman" w:hAnsi="Times New Roman" w:cs="Times New Roman"/>
          <w:sz w:val="28"/>
          <w:szCs w:val="28"/>
        </w:rPr>
        <w:t>раз вносились</w:t>
      </w:r>
      <w:r w:rsidR="00AD0C24" w:rsidRPr="00C2212D">
        <w:rPr>
          <w:rFonts w:ascii="Times New Roman" w:hAnsi="Times New Roman" w:cs="Times New Roman"/>
          <w:sz w:val="28"/>
          <w:szCs w:val="28"/>
        </w:rPr>
        <w:t xml:space="preserve"> изменения по указанной причине</w:t>
      </w:r>
      <w:r w:rsidR="009D1082">
        <w:rPr>
          <w:rFonts w:ascii="Times New Roman" w:hAnsi="Times New Roman" w:cs="Times New Roman"/>
          <w:sz w:val="28"/>
          <w:szCs w:val="28"/>
        </w:rPr>
        <w:t xml:space="preserve"> </w:t>
      </w:r>
      <w:r w:rsidR="009D1082" w:rsidRPr="00C2212D">
        <w:rPr>
          <w:rFonts w:ascii="Times New Roman" w:hAnsi="Times New Roman" w:cs="Times New Roman"/>
          <w:sz w:val="28"/>
          <w:szCs w:val="28"/>
        </w:rPr>
        <w:t>(</w:t>
      </w:r>
      <w:r w:rsidR="009D1082" w:rsidRPr="009D1082">
        <w:rPr>
          <w:rFonts w:ascii="Times New Roman" w:hAnsi="Times New Roman" w:cs="Times New Roman"/>
          <w:b/>
          <w:i/>
          <w:sz w:val="28"/>
          <w:szCs w:val="28"/>
        </w:rPr>
        <w:t>50</w:t>
      </w:r>
      <w:r w:rsidR="009D1082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9D1082" w:rsidRPr="009D1082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9D1082" w:rsidRPr="00C2212D">
        <w:rPr>
          <w:rFonts w:ascii="Times New Roman" w:hAnsi="Times New Roman" w:cs="Times New Roman"/>
          <w:i/>
          <w:sz w:val="28"/>
          <w:szCs w:val="28"/>
        </w:rPr>
        <w:t xml:space="preserve"> от общего количества внесенных изменений</w:t>
      </w:r>
      <w:r w:rsidR="009D1082" w:rsidRPr="00C2212D">
        <w:rPr>
          <w:rFonts w:ascii="Times New Roman" w:hAnsi="Times New Roman" w:cs="Times New Roman"/>
          <w:sz w:val="28"/>
          <w:szCs w:val="28"/>
        </w:rPr>
        <w:t>)</w:t>
      </w:r>
      <w:r w:rsidR="009D1082">
        <w:rPr>
          <w:rFonts w:ascii="Times New Roman" w:hAnsi="Times New Roman" w:cs="Times New Roman"/>
          <w:sz w:val="28"/>
          <w:szCs w:val="28"/>
        </w:rPr>
        <w:t xml:space="preserve"> </w:t>
      </w:r>
      <w:r w:rsidR="009D1082" w:rsidRPr="00675398">
        <w:rPr>
          <w:rFonts w:ascii="Times New Roman" w:hAnsi="Times New Roman" w:cs="Times New Roman"/>
          <w:sz w:val="28"/>
          <w:szCs w:val="28"/>
        </w:rPr>
        <w:t>(</w:t>
      </w:r>
      <w:r w:rsidR="009D1082">
        <w:rPr>
          <w:rFonts w:ascii="Times New Roman" w:hAnsi="Times New Roman" w:cs="Times New Roman"/>
          <w:sz w:val="28"/>
          <w:szCs w:val="28"/>
        </w:rPr>
        <w:t xml:space="preserve">в </w:t>
      </w:r>
      <w:r w:rsidR="009D10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1082" w:rsidRPr="00675398">
        <w:rPr>
          <w:rFonts w:ascii="Times New Roman" w:hAnsi="Times New Roman" w:cs="Times New Roman"/>
          <w:sz w:val="28"/>
          <w:szCs w:val="28"/>
        </w:rPr>
        <w:t xml:space="preserve"> </w:t>
      </w:r>
      <w:r w:rsidR="009D1082">
        <w:rPr>
          <w:rFonts w:ascii="Times New Roman" w:hAnsi="Times New Roman" w:cs="Times New Roman"/>
          <w:sz w:val="28"/>
          <w:szCs w:val="28"/>
        </w:rPr>
        <w:t xml:space="preserve">полугодии 2017 года – </w:t>
      </w:r>
      <w:r w:rsidR="009D1082">
        <w:rPr>
          <w:rFonts w:ascii="Times New Roman" w:hAnsi="Times New Roman" w:cs="Times New Roman"/>
          <w:b/>
          <w:i/>
          <w:sz w:val="28"/>
          <w:szCs w:val="28"/>
        </w:rPr>
        <w:t>51</w:t>
      </w:r>
      <w:r w:rsidR="009D1082" w:rsidRPr="0067539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9D1082">
        <w:rPr>
          <w:rFonts w:ascii="Times New Roman" w:hAnsi="Times New Roman" w:cs="Times New Roman"/>
          <w:sz w:val="28"/>
          <w:szCs w:val="28"/>
        </w:rPr>
        <w:t>)</w:t>
      </w:r>
      <w:r w:rsidR="00AD0C24" w:rsidRPr="00C2212D">
        <w:rPr>
          <w:rFonts w:ascii="Times New Roman" w:hAnsi="Times New Roman" w:cs="Times New Roman"/>
          <w:sz w:val="28"/>
          <w:szCs w:val="28"/>
        </w:rPr>
        <w:t>;</w:t>
      </w:r>
    </w:p>
    <w:p w:rsidR="006B6A94" w:rsidRPr="00C2212D" w:rsidRDefault="006B6A94" w:rsidP="00613955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«образовавшаяся экономия от использования в текущем финансовом году бюджетных ассигнований в соответствии с законодательством Российской Федерации» - </w:t>
      </w:r>
      <w:r w:rsidR="00207D95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4 819 </w:t>
      </w:r>
      <w:r w:rsidR="00AD0C24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>(</w:t>
      </w:r>
      <w:r w:rsidR="00207D95" w:rsidRPr="009D1082">
        <w:rPr>
          <w:rFonts w:ascii="Times New Roman" w:hAnsi="Times New Roman" w:cs="Times New Roman"/>
          <w:b/>
          <w:i/>
          <w:sz w:val="28"/>
          <w:szCs w:val="28"/>
        </w:rPr>
        <w:t>27</w:t>
      </w:r>
      <w:r w:rsidR="009D10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i/>
          <w:sz w:val="28"/>
          <w:szCs w:val="28"/>
        </w:rPr>
        <w:t xml:space="preserve">от общего количества внесенных </w:t>
      </w:r>
      <w:r w:rsidRPr="00C2212D">
        <w:rPr>
          <w:rFonts w:ascii="Times New Roman" w:hAnsi="Times New Roman" w:cs="Times New Roman"/>
          <w:i/>
          <w:sz w:val="28"/>
          <w:szCs w:val="28"/>
        </w:rPr>
        <w:lastRenderedPageBreak/>
        <w:t>изменений</w:t>
      </w:r>
      <w:r w:rsidRPr="00C2212D">
        <w:rPr>
          <w:rFonts w:ascii="Times New Roman" w:hAnsi="Times New Roman" w:cs="Times New Roman"/>
          <w:sz w:val="28"/>
          <w:szCs w:val="28"/>
        </w:rPr>
        <w:t>)</w:t>
      </w:r>
      <w:r w:rsidR="009D1082">
        <w:rPr>
          <w:rFonts w:ascii="Times New Roman" w:hAnsi="Times New Roman" w:cs="Times New Roman"/>
          <w:sz w:val="28"/>
          <w:szCs w:val="28"/>
        </w:rPr>
        <w:t xml:space="preserve"> </w:t>
      </w:r>
      <w:r w:rsidR="009D1082" w:rsidRPr="00675398">
        <w:rPr>
          <w:rFonts w:ascii="Times New Roman" w:hAnsi="Times New Roman" w:cs="Times New Roman"/>
          <w:sz w:val="28"/>
          <w:szCs w:val="28"/>
        </w:rPr>
        <w:t>(</w:t>
      </w:r>
      <w:r w:rsidR="009D1082">
        <w:rPr>
          <w:rFonts w:ascii="Times New Roman" w:hAnsi="Times New Roman" w:cs="Times New Roman"/>
          <w:sz w:val="28"/>
          <w:szCs w:val="28"/>
        </w:rPr>
        <w:t xml:space="preserve">в </w:t>
      </w:r>
      <w:r w:rsidR="009D10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1082" w:rsidRPr="00675398">
        <w:rPr>
          <w:rFonts w:ascii="Times New Roman" w:hAnsi="Times New Roman" w:cs="Times New Roman"/>
          <w:sz w:val="28"/>
          <w:szCs w:val="28"/>
        </w:rPr>
        <w:t xml:space="preserve"> </w:t>
      </w:r>
      <w:r w:rsidR="009D1082">
        <w:rPr>
          <w:rFonts w:ascii="Times New Roman" w:hAnsi="Times New Roman" w:cs="Times New Roman"/>
          <w:sz w:val="28"/>
          <w:szCs w:val="28"/>
        </w:rPr>
        <w:t xml:space="preserve">полугодии 2017 года – </w:t>
      </w:r>
      <w:r w:rsidR="009D1082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9D1082" w:rsidRPr="0067539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9D1082">
        <w:rPr>
          <w:rFonts w:ascii="Times New Roman" w:hAnsi="Times New Roman" w:cs="Times New Roman"/>
          <w:sz w:val="28"/>
          <w:szCs w:val="28"/>
        </w:rPr>
        <w:t>)</w:t>
      </w:r>
      <w:r w:rsidRPr="00C2212D">
        <w:rPr>
          <w:rFonts w:ascii="Times New Roman" w:hAnsi="Times New Roman" w:cs="Times New Roman"/>
          <w:sz w:val="28"/>
          <w:szCs w:val="28"/>
        </w:rPr>
        <w:t>;</w:t>
      </w:r>
    </w:p>
    <w:p w:rsidR="006B6A94" w:rsidRPr="00C2212D" w:rsidRDefault="006B6A94" w:rsidP="00613955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2D2983" w:rsidRPr="00C2212D">
        <w:rPr>
          <w:rFonts w:ascii="Times New Roman" w:hAnsi="Times New Roman" w:cs="Times New Roman"/>
          <w:sz w:val="28"/>
          <w:szCs w:val="28"/>
        </w:rPr>
        <w:t>«изменение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контракта» -</w:t>
      </w:r>
      <w:r w:rsidR="00BF19C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207D95" w:rsidRPr="00C2212D">
        <w:rPr>
          <w:rFonts w:ascii="Times New Roman" w:hAnsi="Times New Roman" w:cs="Times New Roman"/>
          <w:b/>
          <w:i/>
          <w:sz w:val="28"/>
          <w:szCs w:val="28"/>
        </w:rPr>
        <w:t>1785</w:t>
      </w:r>
      <w:r w:rsidR="002D2983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1082">
        <w:rPr>
          <w:rFonts w:ascii="Times New Roman" w:hAnsi="Times New Roman" w:cs="Times New Roman"/>
          <w:b/>
          <w:i/>
          <w:sz w:val="28"/>
          <w:szCs w:val="28"/>
        </w:rPr>
        <w:br/>
      </w:r>
      <w:r w:rsidR="002D2983" w:rsidRPr="00C2212D">
        <w:rPr>
          <w:rFonts w:ascii="Times New Roman" w:hAnsi="Times New Roman" w:cs="Times New Roman"/>
          <w:i/>
          <w:sz w:val="28"/>
          <w:szCs w:val="28"/>
        </w:rPr>
        <w:t>(</w:t>
      </w:r>
      <w:r w:rsidR="00AD17BF" w:rsidRPr="009D1082"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="002D2983" w:rsidRPr="009D1082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2D2983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2983" w:rsidRPr="00C2212D">
        <w:rPr>
          <w:rFonts w:ascii="Times New Roman" w:hAnsi="Times New Roman" w:cs="Times New Roman"/>
          <w:i/>
          <w:sz w:val="28"/>
          <w:szCs w:val="28"/>
        </w:rPr>
        <w:t>от общего количества внесенных изменений</w:t>
      </w:r>
      <w:r w:rsidR="002D2983" w:rsidRPr="00C2212D">
        <w:rPr>
          <w:rFonts w:ascii="Times New Roman" w:hAnsi="Times New Roman" w:cs="Times New Roman"/>
          <w:sz w:val="28"/>
          <w:szCs w:val="28"/>
        </w:rPr>
        <w:t>)</w:t>
      </w:r>
      <w:r w:rsidR="009D1082">
        <w:rPr>
          <w:rFonts w:ascii="Times New Roman" w:hAnsi="Times New Roman" w:cs="Times New Roman"/>
          <w:sz w:val="28"/>
          <w:szCs w:val="28"/>
        </w:rPr>
        <w:t xml:space="preserve"> </w:t>
      </w:r>
      <w:r w:rsidR="009D1082" w:rsidRPr="00675398">
        <w:rPr>
          <w:rFonts w:ascii="Times New Roman" w:hAnsi="Times New Roman" w:cs="Times New Roman"/>
          <w:sz w:val="28"/>
          <w:szCs w:val="28"/>
        </w:rPr>
        <w:t>(</w:t>
      </w:r>
      <w:r w:rsidR="009D1082">
        <w:rPr>
          <w:rFonts w:ascii="Times New Roman" w:hAnsi="Times New Roman" w:cs="Times New Roman"/>
          <w:sz w:val="28"/>
          <w:szCs w:val="28"/>
        </w:rPr>
        <w:t xml:space="preserve">в </w:t>
      </w:r>
      <w:r w:rsidR="009D10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1082" w:rsidRPr="00675398">
        <w:rPr>
          <w:rFonts w:ascii="Times New Roman" w:hAnsi="Times New Roman" w:cs="Times New Roman"/>
          <w:sz w:val="28"/>
          <w:szCs w:val="28"/>
        </w:rPr>
        <w:t xml:space="preserve"> </w:t>
      </w:r>
      <w:r w:rsidR="009D1082">
        <w:rPr>
          <w:rFonts w:ascii="Times New Roman" w:hAnsi="Times New Roman" w:cs="Times New Roman"/>
          <w:sz w:val="28"/>
          <w:szCs w:val="28"/>
        </w:rPr>
        <w:t xml:space="preserve">полугодии 2017 года – </w:t>
      </w:r>
      <w:r w:rsidR="009D1082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9D1082" w:rsidRPr="0067539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9D1082">
        <w:rPr>
          <w:rFonts w:ascii="Times New Roman" w:hAnsi="Times New Roman" w:cs="Times New Roman"/>
          <w:sz w:val="28"/>
          <w:szCs w:val="28"/>
        </w:rPr>
        <w:t>)</w:t>
      </w:r>
      <w:r w:rsidR="002D2983" w:rsidRPr="00C2212D">
        <w:rPr>
          <w:rFonts w:ascii="Times New Roman" w:hAnsi="Times New Roman" w:cs="Times New Roman"/>
          <w:sz w:val="28"/>
          <w:szCs w:val="28"/>
        </w:rPr>
        <w:t>;</w:t>
      </w:r>
    </w:p>
    <w:p w:rsidR="00ED3A47" w:rsidRPr="00C2212D" w:rsidRDefault="00455A82" w:rsidP="00613955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C2212D">
        <w:rPr>
          <w:rFonts w:ascii="Times New Roman" w:hAnsi="Times New Roman" w:cs="Times New Roman"/>
          <w:sz w:val="28"/>
          <w:szCs w:val="28"/>
        </w:rPr>
        <w:t>- «</w:t>
      </w:r>
      <w:r w:rsidR="000E7F54" w:rsidRPr="00C2212D">
        <w:rPr>
          <w:rFonts w:ascii="Times New Roman" w:hAnsi="Times New Roman" w:cs="Times New Roman"/>
          <w:sz w:val="28"/>
          <w:szCs w:val="28"/>
        </w:rPr>
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невозможной» - </w:t>
      </w:r>
      <w:r w:rsidR="00207D95" w:rsidRPr="00C2212D">
        <w:rPr>
          <w:rFonts w:ascii="Times New Roman" w:hAnsi="Times New Roman" w:cs="Times New Roman"/>
          <w:b/>
          <w:i/>
          <w:sz w:val="28"/>
          <w:szCs w:val="28"/>
        </w:rPr>
        <w:t>1614</w:t>
      </w:r>
      <w:r w:rsidR="001D6960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3A47" w:rsidRPr="00C2212D">
        <w:rPr>
          <w:rFonts w:ascii="Times New Roman" w:hAnsi="Times New Roman" w:cs="Times New Roman"/>
          <w:i/>
          <w:sz w:val="28"/>
          <w:szCs w:val="28"/>
        </w:rPr>
        <w:t>(</w:t>
      </w:r>
      <w:r w:rsidR="00AD17BF" w:rsidRPr="00933E1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B6A94" w:rsidRPr="00933E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3A47" w:rsidRPr="00933E11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ED3A47" w:rsidRPr="00C2212D">
        <w:rPr>
          <w:rFonts w:ascii="Times New Roman" w:hAnsi="Times New Roman" w:cs="Times New Roman"/>
          <w:i/>
          <w:sz w:val="28"/>
          <w:szCs w:val="28"/>
        </w:rPr>
        <w:t xml:space="preserve"> от общего количества внесенных изменений</w:t>
      </w:r>
      <w:r w:rsidR="00ED3A47" w:rsidRPr="00C2212D">
        <w:rPr>
          <w:rFonts w:ascii="Times New Roman" w:hAnsi="Times New Roman" w:cs="Times New Roman"/>
          <w:sz w:val="28"/>
          <w:szCs w:val="28"/>
        </w:rPr>
        <w:t>)</w:t>
      </w:r>
      <w:r w:rsidR="00933E11">
        <w:rPr>
          <w:rFonts w:ascii="Times New Roman" w:hAnsi="Times New Roman" w:cs="Times New Roman"/>
          <w:sz w:val="28"/>
          <w:szCs w:val="28"/>
        </w:rPr>
        <w:t xml:space="preserve"> </w:t>
      </w:r>
      <w:r w:rsidR="00933E11" w:rsidRPr="00675398">
        <w:rPr>
          <w:rFonts w:ascii="Times New Roman" w:hAnsi="Times New Roman" w:cs="Times New Roman"/>
          <w:sz w:val="28"/>
          <w:szCs w:val="28"/>
        </w:rPr>
        <w:t>(</w:t>
      </w:r>
      <w:r w:rsidR="00933E11">
        <w:rPr>
          <w:rFonts w:ascii="Times New Roman" w:hAnsi="Times New Roman" w:cs="Times New Roman"/>
          <w:sz w:val="28"/>
          <w:szCs w:val="28"/>
        </w:rPr>
        <w:t xml:space="preserve">в </w:t>
      </w:r>
      <w:r w:rsidR="00933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3E11" w:rsidRPr="00675398">
        <w:rPr>
          <w:rFonts w:ascii="Times New Roman" w:hAnsi="Times New Roman" w:cs="Times New Roman"/>
          <w:sz w:val="28"/>
          <w:szCs w:val="28"/>
        </w:rPr>
        <w:t xml:space="preserve"> </w:t>
      </w:r>
      <w:r w:rsidR="00933E11">
        <w:rPr>
          <w:rFonts w:ascii="Times New Roman" w:hAnsi="Times New Roman" w:cs="Times New Roman"/>
          <w:sz w:val="28"/>
          <w:szCs w:val="28"/>
        </w:rPr>
        <w:t xml:space="preserve">полугодии 2017 года – </w:t>
      </w:r>
      <w:r w:rsidR="00933E11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933E11" w:rsidRPr="0067539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933E11">
        <w:rPr>
          <w:rFonts w:ascii="Times New Roman" w:hAnsi="Times New Roman" w:cs="Times New Roman"/>
          <w:sz w:val="28"/>
          <w:szCs w:val="28"/>
        </w:rPr>
        <w:t>)</w:t>
      </w:r>
      <w:r w:rsidR="00ED3A47" w:rsidRPr="00C221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2983" w:rsidRPr="00C2212D" w:rsidRDefault="002D2983" w:rsidP="00613955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«иные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закупок» - </w:t>
      </w:r>
      <w:r w:rsidR="00207D95" w:rsidRPr="00C2212D">
        <w:rPr>
          <w:rFonts w:ascii="Times New Roman" w:hAnsi="Times New Roman" w:cs="Times New Roman"/>
          <w:b/>
          <w:i/>
          <w:sz w:val="28"/>
          <w:szCs w:val="28"/>
        </w:rPr>
        <w:t>694</w:t>
      </w:r>
      <w:r w:rsidR="0023548C"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="00AD17BF" w:rsidRPr="00933E1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33E11" w:rsidRPr="00933E1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33E11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i/>
          <w:sz w:val="28"/>
          <w:szCs w:val="28"/>
        </w:rPr>
        <w:t>от общего количества внесенных изменений</w:t>
      </w:r>
      <w:r w:rsidRPr="00C2212D">
        <w:rPr>
          <w:rFonts w:ascii="Times New Roman" w:hAnsi="Times New Roman" w:cs="Times New Roman"/>
          <w:sz w:val="28"/>
          <w:szCs w:val="28"/>
        </w:rPr>
        <w:t>)</w:t>
      </w:r>
      <w:r w:rsidR="00933E11">
        <w:rPr>
          <w:rFonts w:ascii="Times New Roman" w:hAnsi="Times New Roman" w:cs="Times New Roman"/>
          <w:sz w:val="28"/>
          <w:szCs w:val="28"/>
        </w:rPr>
        <w:t xml:space="preserve"> </w:t>
      </w:r>
      <w:r w:rsidR="00933E11">
        <w:rPr>
          <w:rFonts w:ascii="Times New Roman" w:hAnsi="Times New Roman" w:cs="Times New Roman"/>
          <w:sz w:val="28"/>
          <w:szCs w:val="28"/>
        </w:rPr>
        <w:br/>
        <w:t xml:space="preserve">(в </w:t>
      </w:r>
      <w:r w:rsidR="00933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3E11" w:rsidRPr="00675398">
        <w:rPr>
          <w:rFonts w:ascii="Times New Roman" w:hAnsi="Times New Roman" w:cs="Times New Roman"/>
          <w:sz w:val="28"/>
          <w:szCs w:val="28"/>
        </w:rPr>
        <w:t xml:space="preserve"> </w:t>
      </w:r>
      <w:r w:rsidR="00933E11">
        <w:rPr>
          <w:rFonts w:ascii="Times New Roman" w:hAnsi="Times New Roman" w:cs="Times New Roman"/>
          <w:sz w:val="28"/>
          <w:szCs w:val="28"/>
        </w:rPr>
        <w:t xml:space="preserve">полугодии 2017 года – </w:t>
      </w:r>
      <w:r w:rsidR="00933E11">
        <w:rPr>
          <w:rFonts w:ascii="Times New Roman" w:hAnsi="Times New Roman" w:cs="Times New Roman"/>
          <w:b/>
          <w:i/>
          <w:sz w:val="28"/>
          <w:szCs w:val="28"/>
        </w:rPr>
        <w:t>3,9</w:t>
      </w:r>
      <w:r w:rsidR="00933E11" w:rsidRPr="0067539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933E11">
        <w:rPr>
          <w:rFonts w:ascii="Times New Roman" w:hAnsi="Times New Roman" w:cs="Times New Roman"/>
          <w:sz w:val="28"/>
          <w:szCs w:val="28"/>
        </w:rPr>
        <w:t>)</w:t>
      </w:r>
      <w:r w:rsidR="00C7713E">
        <w:rPr>
          <w:rFonts w:ascii="Times New Roman" w:hAnsi="Times New Roman" w:cs="Times New Roman"/>
          <w:sz w:val="28"/>
          <w:szCs w:val="28"/>
        </w:rPr>
        <w:t>.</w:t>
      </w:r>
    </w:p>
    <w:p w:rsidR="00207D95" w:rsidRPr="00C2212D" w:rsidRDefault="00207D95" w:rsidP="00613955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Стоит сказать, что случаев </w:t>
      </w:r>
      <w:r w:rsidR="006B6A94" w:rsidRPr="00C2212D">
        <w:rPr>
          <w:rFonts w:ascii="Times New Roman" w:hAnsi="Times New Roman" w:cs="Times New Roman"/>
          <w:sz w:val="28"/>
          <w:szCs w:val="28"/>
        </w:rPr>
        <w:t>выдач</w:t>
      </w:r>
      <w:r w:rsidRPr="00C2212D">
        <w:rPr>
          <w:rFonts w:ascii="Times New Roman" w:hAnsi="Times New Roman" w:cs="Times New Roman"/>
          <w:sz w:val="28"/>
          <w:szCs w:val="28"/>
        </w:rPr>
        <w:t>и</w:t>
      </w:r>
      <w:r w:rsidR="006B6A94" w:rsidRPr="00C2212D">
        <w:rPr>
          <w:rFonts w:ascii="Times New Roman" w:hAnsi="Times New Roman" w:cs="Times New Roman"/>
          <w:sz w:val="28"/>
          <w:szCs w:val="28"/>
        </w:rPr>
        <w:t xml:space="preserve">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</w:t>
      </w:r>
      <w:r w:rsidR="00B23E83">
        <w:rPr>
          <w:rFonts w:ascii="Times New Roman" w:hAnsi="Times New Roman" w:cs="Times New Roman"/>
          <w:sz w:val="28"/>
          <w:szCs w:val="28"/>
        </w:rPr>
        <w:t>,</w:t>
      </w:r>
      <w:r w:rsidRPr="00C2212D">
        <w:rPr>
          <w:rFonts w:ascii="Times New Roman" w:hAnsi="Times New Roman" w:cs="Times New Roman"/>
          <w:sz w:val="28"/>
          <w:szCs w:val="28"/>
        </w:rPr>
        <w:t xml:space="preserve"> в первом полугодии 2018 года зафиксировано</w:t>
      </w:r>
      <w:r w:rsidR="00C7713E" w:rsidRPr="00C7713E">
        <w:rPr>
          <w:rFonts w:ascii="Times New Roman" w:hAnsi="Times New Roman" w:cs="Times New Roman"/>
          <w:sz w:val="28"/>
          <w:szCs w:val="28"/>
        </w:rPr>
        <w:t xml:space="preserve"> </w:t>
      </w:r>
      <w:r w:rsidR="00C7713E" w:rsidRPr="00C2212D">
        <w:rPr>
          <w:rFonts w:ascii="Times New Roman" w:hAnsi="Times New Roman" w:cs="Times New Roman"/>
          <w:sz w:val="28"/>
          <w:szCs w:val="28"/>
        </w:rPr>
        <w:t>не было</w:t>
      </w:r>
      <w:r w:rsidRPr="00C2212D">
        <w:rPr>
          <w:rFonts w:ascii="Times New Roman" w:hAnsi="Times New Roman" w:cs="Times New Roman"/>
          <w:sz w:val="28"/>
          <w:szCs w:val="28"/>
        </w:rPr>
        <w:t>.</w:t>
      </w:r>
    </w:p>
    <w:p w:rsidR="00AD0C24" w:rsidRPr="00C2212D" w:rsidRDefault="00207D95" w:rsidP="00613955">
      <w:pPr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C2212D">
        <w:rPr>
          <w:rFonts w:ascii="Times New Roman" w:hAnsi="Times New Roman" w:cs="Times New Roman"/>
          <w:sz w:val="28"/>
          <w:szCs w:val="28"/>
        </w:rPr>
        <w:t>Существенно значимой</w:t>
      </w:r>
      <w:proofErr w:type="gramEnd"/>
      <w:r w:rsidR="00AD17BF" w:rsidRPr="00C2212D">
        <w:rPr>
          <w:rFonts w:ascii="Times New Roman" w:hAnsi="Times New Roman" w:cs="Times New Roman"/>
          <w:sz w:val="28"/>
          <w:szCs w:val="28"/>
        </w:rPr>
        <w:t>,</w:t>
      </w:r>
      <w:r w:rsidRPr="00C2212D">
        <w:rPr>
          <w:rFonts w:ascii="Times New Roman" w:hAnsi="Times New Roman" w:cs="Times New Roman"/>
          <w:sz w:val="28"/>
          <w:szCs w:val="28"/>
        </w:rPr>
        <w:t xml:space="preserve"> по </w:t>
      </w:r>
      <w:r w:rsidR="00AD0C24" w:rsidRPr="00C2212D">
        <w:rPr>
          <w:rFonts w:ascii="Times New Roman" w:hAnsi="Times New Roman" w:cs="Times New Roman"/>
          <w:sz w:val="28"/>
          <w:szCs w:val="28"/>
        </w:rPr>
        <w:t xml:space="preserve"> итогам  </w:t>
      </w:r>
      <w:r w:rsidRPr="00C2212D">
        <w:rPr>
          <w:rFonts w:ascii="Times New Roman" w:hAnsi="Times New Roman" w:cs="Times New Roman"/>
          <w:sz w:val="28"/>
          <w:szCs w:val="28"/>
        </w:rPr>
        <w:t xml:space="preserve">первого полугодия </w:t>
      </w:r>
      <w:r w:rsidR="00AD0C24" w:rsidRPr="00C2212D">
        <w:rPr>
          <w:rFonts w:ascii="Times New Roman" w:hAnsi="Times New Roman" w:cs="Times New Roman"/>
          <w:sz w:val="28"/>
          <w:szCs w:val="28"/>
        </w:rPr>
        <w:t>201</w:t>
      </w:r>
      <w:r w:rsidRPr="00C2212D">
        <w:rPr>
          <w:rFonts w:ascii="Times New Roman" w:hAnsi="Times New Roman" w:cs="Times New Roman"/>
          <w:sz w:val="28"/>
          <w:szCs w:val="28"/>
        </w:rPr>
        <w:t>8</w:t>
      </w:r>
      <w:r w:rsidR="00AD0C24" w:rsidRPr="00C221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17BF" w:rsidRPr="00C2212D">
        <w:rPr>
          <w:rFonts w:ascii="Times New Roman" w:hAnsi="Times New Roman" w:cs="Times New Roman"/>
          <w:sz w:val="28"/>
          <w:szCs w:val="28"/>
        </w:rPr>
        <w:t>,</w:t>
      </w:r>
      <w:r w:rsidR="00AD0C24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остается причина для внесения изменений </w:t>
      </w:r>
      <w:r w:rsidR="00AD0C24" w:rsidRPr="00C2212D">
        <w:rPr>
          <w:rFonts w:ascii="Times New Roman" w:hAnsi="Times New Roman" w:cs="Times New Roman"/>
          <w:sz w:val="28"/>
          <w:szCs w:val="28"/>
        </w:rPr>
        <w:t>по основанию «возникновение обстоятельств, предвидеть которые на дату утверждения плана-гра</w:t>
      </w:r>
      <w:r w:rsidR="00075ABF" w:rsidRPr="00C2212D">
        <w:rPr>
          <w:rFonts w:ascii="Times New Roman" w:hAnsi="Times New Roman" w:cs="Times New Roman"/>
          <w:sz w:val="28"/>
          <w:szCs w:val="28"/>
        </w:rPr>
        <w:t>фика закупок было невозможно» (</w:t>
      </w:r>
      <w:r w:rsidR="00AD0C24" w:rsidRPr="00C2212D">
        <w:rPr>
          <w:rFonts w:ascii="Times New Roman" w:hAnsi="Times New Roman" w:cs="Times New Roman"/>
          <w:i/>
          <w:sz w:val="28"/>
          <w:szCs w:val="28"/>
        </w:rPr>
        <w:t>в перв</w:t>
      </w:r>
      <w:r w:rsidR="00DE4939" w:rsidRPr="00C2212D">
        <w:rPr>
          <w:rFonts w:ascii="Times New Roman" w:hAnsi="Times New Roman" w:cs="Times New Roman"/>
          <w:i/>
          <w:sz w:val="28"/>
          <w:szCs w:val="28"/>
        </w:rPr>
        <w:t>о</w:t>
      </w:r>
      <w:r w:rsidR="00AD0C24" w:rsidRPr="00C2212D">
        <w:rPr>
          <w:rFonts w:ascii="Times New Roman" w:hAnsi="Times New Roman" w:cs="Times New Roman"/>
          <w:i/>
          <w:sz w:val="28"/>
          <w:szCs w:val="28"/>
        </w:rPr>
        <w:t>м полугоди</w:t>
      </w:r>
      <w:r w:rsidR="00DE4939" w:rsidRPr="00C2212D">
        <w:rPr>
          <w:rFonts w:ascii="Times New Roman" w:hAnsi="Times New Roman" w:cs="Times New Roman"/>
          <w:i/>
          <w:sz w:val="28"/>
          <w:szCs w:val="28"/>
        </w:rPr>
        <w:t>и</w:t>
      </w:r>
      <w:r w:rsidR="00AD0C24" w:rsidRPr="00C2212D">
        <w:rPr>
          <w:rFonts w:ascii="Times New Roman" w:hAnsi="Times New Roman" w:cs="Times New Roman"/>
          <w:i/>
          <w:sz w:val="28"/>
          <w:szCs w:val="28"/>
        </w:rPr>
        <w:t xml:space="preserve"> 2017 </w:t>
      </w:r>
      <w:r w:rsidR="00A21683" w:rsidRPr="00C2212D">
        <w:rPr>
          <w:rFonts w:ascii="Times New Roman" w:hAnsi="Times New Roman" w:cs="Times New Roman"/>
          <w:i/>
          <w:sz w:val="28"/>
          <w:szCs w:val="28"/>
        </w:rPr>
        <w:t>г</w:t>
      </w:r>
      <w:r w:rsidR="00AD0C24" w:rsidRPr="00C2212D">
        <w:rPr>
          <w:rFonts w:ascii="Times New Roman" w:hAnsi="Times New Roman" w:cs="Times New Roman"/>
          <w:i/>
          <w:sz w:val="28"/>
          <w:szCs w:val="28"/>
        </w:rPr>
        <w:t xml:space="preserve">ода - 51% , </w:t>
      </w:r>
      <w:r w:rsidRPr="00C2212D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2018 </w:t>
      </w:r>
      <w:r w:rsidR="00AD0C24" w:rsidRPr="00C2212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2212D">
        <w:rPr>
          <w:rFonts w:ascii="Times New Roman" w:hAnsi="Times New Roman" w:cs="Times New Roman"/>
          <w:i/>
          <w:sz w:val="28"/>
          <w:szCs w:val="28"/>
        </w:rPr>
        <w:t>50</w:t>
      </w:r>
      <w:r w:rsidR="00AD0C24"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вносимых изменений)</w:t>
      </w:r>
      <w:r w:rsidR="00AD0C24" w:rsidRPr="00C2212D">
        <w:rPr>
          <w:rFonts w:ascii="Times New Roman" w:hAnsi="Times New Roman" w:cs="Times New Roman"/>
          <w:sz w:val="28"/>
          <w:szCs w:val="28"/>
        </w:rPr>
        <w:t>. Это свидетельствует о</w:t>
      </w:r>
      <w:r w:rsidRPr="00C2212D">
        <w:rPr>
          <w:rFonts w:ascii="Times New Roman" w:hAnsi="Times New Roman" w:cs="Times New Roman"/>
          <w:sz w:val="28"/>
          <w:szCs w:val="28"/>
        </w:rPr>
        <w:t xml:space="preserve"> низкоэффективной работе заказчиками по планированию, хотя </w:t>
      </w:r>
      <w:r w:rsidR="00986BA2" w:rsidRPr="00C2212D">
        <w:rPr>
          <w:rFonts w:ascii="Times New Roman" w:hAnsi="Times New Roman" w:cs="Times New Roman"/>
          <w:sz w:val="28"/>
          <w:szCs w:val="28"/>
        </w:rPr>
        <w:t>Департамент</w:t>
      </w:r>
      <w:r w:rsidR="00B23E83">
        <w:rPr>
          <w:rFonts w:ascii="Times New Roman" w:hAnsi="Times New Roman" w:cs="Times New Roman"/>
          <w:sz w:val="28"/>
          <w:szCs w:val="28"/>
        </w:rPr>
        <w:t>ом</w:t>
      </w:r>
      <w:r w:rsidR="00C7713E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C7713E">
        <w:rPr>
          <w:rFonts w:ascii="Times New Roman" w:hAnsi="Times New Roman" w:cs="Times New Roman"/>
          <w:sz w:val="28"/>
          <w:szCs w:val="28"/>
        </w:rPr>
        <w:t>организована</w:t>
      </w:r>
      <w:r w:rsidR="00AD0C24" w:rsidRPr="00C2212D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C7713E">
        <w:rPr>
          <w:rFonts w:ascii="Times New Roman" w:hAnsi="Times New Roman" w:cs="Times New Roman"/>
          <w:sz w:val="28"/>
          <w:szCs w:val="28"/>
        </w:rPr>
        <w:t>ая</w:t>
      </w:r>
      <w:r w:rsidRPr="00C2212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7713E">
        <w:rPr>
          <w:rFonts w:ascii="Times New Roman" w:hAnsi="Times New Roman" w:cs="Times New Roman"/>
          <w:sz w:val="28"/>
          <w:szCs w:val="28"/>
        </w:rPr>
        <w:t>а</w:t>
      </w:r>
      <w:r w:rsidRPr="00C2212D">
        <w:rPr>
          <w:rFonts w:ascii="Times New Roman" w:hAnsi="Times New Roman" w:cs="Times New Roman"/>
          <w:sz w:val="28"/>
          <w:szCs w:val="28"/>
        </w:rPr>
        <w:t xml:space="preserve"> именно в данном направлении</w:t>
      </w:r>
      <w:r w:rsidR="00B23E83">
        <w:rPr>
          <w:rFonts w:ascii="Times New Roman" w:hAnsi="Times New Roman" w:cs="Times New Roman"/>
          <w:sz w:val="28"/>
          <w:szCs w:val="28"/>
        </w:rPr>
        <w:t>.</w:t>
      </w:r>
      <w:r w:rsidR="00AD0C24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B23E83">
        <w:rPr>
          <w:rFonts w:ascii="Times New Roman" w:hAnsi="Times New Roman" w:cs="Times New Roman"/>
          <w:sz w:val="28"/>
          <w:szCs w:val="28"/>
        </w:rPr>
        <w:t>Т</w:t>
      </w:r>
      <w:r w:rsidR="00AD0C24" w:rsidRPr="00C2212D">
        <w:rPr>
          <w:rFonts w:ascii="Times New Roman" w:hAnsi="Times New Roman" w:cs="Times New Roman"/>
          <w:sz w:val="28"/>
          <w:szCs w:val="28"/>
        </w:rPr>
        <w:t>ак</w:t>
      </w:r>
      <w:r w:rsidR="00B23E83">
        <w:rPr>
          <w:rFonts w:ascii="Times New Roman" w:hAnsi="Times New Roman" w:cs="Times New Roman"/>
          <w:sz w:val="28"/>
          <w:szCs w:val="28"/>
        </w:rPr>
        <w:t>,</w:t>
      </w:r>
      <w:r w:rsidR="00AD0C24" w:rsidRPr="00C2212D">
        <w:rPr>
          <w:rFonts w:ascii="Times New Roman" w:hAnsi="Times New Roman" w:cs="Times New Roman"/>
          <w:sz w:val="28"/>
          <w:szCs w:val="28"/>
        </w:rPr>
        <w:t xml:space="preserve"> в ходе проводимых семинаров неоднократно указывалось на необходимость конкретизации причин внесения изменений </w:t>
      </w:r>
      <w:r w:rsidR="00AD17BF" w:rsidRPr="00C2212D">
        <w:rPr>
          <w:rFonts w:ascii="Times New Roman" w:hAnsi="Times New Roman" w:cs="Times New Roman"/>
          <w:sz w:val="28"/>
          <w:szCs w:val="28"/>
        </w:rPr>
        <w:t xml:space="preserve">и </w:t>
      </w:r>
      <w:r w:rsidR="00AD0C24" w:rsidRPr="00C2212D">
        <w:rPr>
          <w:rFonts w:ascii="Times New Roman" w:hAnsi="Times New Roman" w:cs="Times New Roman"/>
          <w:sz w:val="28"/>
          <w:szCs w:val="28"/>
        </w:rPr>
        <w:t xml:space="preserve">о более осознанном подходе заказчиков Свердловской области  при внесении изменений в утвержденные планы-графики. </w:t>
      </w:r>
    </w:p>
    <w:p w:rsidR="001B1728" w:rsidRPr="00C2212D" w:rsidRDefault="001B1728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1728" w:rsidRPr="00C2212D" w:rsidRDefault="001B1728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12D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3. Анализ осуществления закупок</w:t>
      </w:r>
    </w:p>
    <w:p w:rsidR="001B1728" w:rsidRPr="00C2212D" w:rsidRDefault="001B1728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3D17" w:rsidRPr="00C2212D" w:rsidRDefault="00913D17" w:rsidP="00613955">
      <w:pPr>
        <w:spacing w:line="312" w:lineRule="auto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Заказчики </w:t>
      </w:r>
      <w:r w:rsidR="00137212" w:rsidRPr="00C2212D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Pr="00C2212D">
        <w:rPr>
          <w:rFonts w:ascii="Times New Roman" w:hAnsi="Times New Roman" w:cs="Times New Roman"/>
          <w:sz w:val="28"/>
          <w:szCs w:val="28"/>
        </w:rPr>
        <w:t xml:space="preserve">при осуществлении закупок </w:t>
      </w:r>
      <w:r w:rsidR="00137212" w:rsidRPr="00C2212D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C2212D">
        <w:rPr>
          <w:rFonts w:ascii="Times New Roman" w:hAnsi="Times New Roman" w:cs="Times New Roman"/>
          <w:sz w:val="28"/>
          <w:szCs w:val="28"/>
        </w:rPr>
        <w:t xml:space="preserve">используют конкурентные </w:t>
      </w:r>
      <w:hyperlink r:id="rId14" w:history="1">
        <w:r w:rsidRPr="00C2212D">
          <w:rPr>
            <w:rFonts w:ascii="Times New Roman" w:hAnsi="Times New Roman" w:cs="Times New Roman"/>
            <w:sz w:val="28"/>
            <w:szCs w:val="28"/>
          </w:rPr>
          <w:t>способы</w:t>
        </w:r>
      </w:hyperlink>
      <w:r w:rsidRPr="00C2212D">
        <w:rPr>
          <w:rFonts w:ascii="Times New Roman" w:hAnsi="Times New Roman" w:cs="Times New Roman"/>
          <w:sz w:val="28"/>
          <w:szCs w:val="28"/>
        </w:rPr>
        <w:t xml:space="preserve"> определения поставщиков (подрядчиков, исполнителей) или осуществляют закупки у единственного поставщика (подрядчика, исполнителя) (часть 1 статьи 24 Закона о контрактной системе).</w:t>
      </w:r>
    </w:p>
    <w:p w:rsidR="00913D17" w:rsidRPr="00C2212D" w:rsidRDefault="00913D17" w:rsidP="00613955">
      <w:pPr>
        <w:spacing w:line="312" w:lineRule="auto"/>
        <w:ind w:firstLine="539"/>
        <w:rPr>
          <w:rFonts w:ascii="Times New Roman" w:hAnsi="Times New Roman" w:cs="Times New Roman"/>
          <w:b/>
          <w:i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Конкурентными способами определения поставщиков (подрядчиков, исполнителей) являются (часть 2 статьи 24 Закона о контрактной системе)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13D17" w:rsidRPr="00C2212D" w:rsidRDefault="00913D17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1.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</w:t>
      </w:r>
    </w:p>
    <w:p w:rsidR="00913D17" w:rsidRPr="00C2212D" w:rsidRDefault="00913D17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2. аукционы (аукцион в электронной форме, закрытый аукцион);</w:t>
      </w:r>
    </w:p>
    <w:p w:rsidR="00913D17" w:rsidRPr="00C2212D" w:rsidRDefault="00913D17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3. запрос котировок;</w:t>
      </w:r>
    </w:p>
    <w:p w:rsidR="00A24576" w:rsidRPr="00C2212D" w:rsidRDefault="00913D17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4. запрос предложений.</w:t>
      </w:r>
    </w:p>
    <w:p w:rsidR="00913D17" w:rsidRPr="00C2212D" w:rsidRDefault="00913D17" w:rsidP="00613955">
      <w:pPr>
        <w:spacing w:line="312" w:lineRule="auto"/>
        <w:ind w:firstLine="539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По данным</w:t>
      </w:r>
      <w:r w:rsidR="00FA1026" w:rsidRPr="00C2212D">
        <w:rPr>
          <w:rFonts w:ascii="Times New Roman" w:hAnsi="Times New Roman" w:cs="Times New Roman"/>
          <w:sz w:val="28"/>
          <w:szCs w:val="28"/>
        </w:rPr>
        <w:t xml:space="preserve"> информационной системы Свердловской области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656337" w:rsidRPr="00C2212D">
        <w:rPr>
          <w:rFonts w:ascii="Times New Roman" w:hAnsi="Times New Roman" w:cs="Times New Roman"/>
          <w:sz w:val="28"/>
          <w:szCs w:val="28"/>
        </w:rPr>
        <w:t xml:space="preserve">в </w:t>
      </w:r>
      <w:r w:rsidR="002F65B5" w:rsidRPr="00C2212D">
        <w:rPr>
          <w:rFonts w:ascii="Times New Roman" w:hAnsi="Times New Roman" w:cs="Times New Roman"/>
          <w:bCs/>
          <w:sz w:val="28"/>
          <w:szCs w:val="28"/>
        </w:rPr>
        <w:t>первом полугодии 2018</w:t>
      </w:r>
      <w:r w:rsidRPr="00C2212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F65B5" w:rsidRPr="00C2212D">
        <w:rPr>
          <w:rFonts w:ascii="Times New Roman" w:hAnsi="Times New Roman" w:cs="Times New Roman"/>
          <w:bCs/>
          <w:sz w:val="28"/>
          <w:szCs w:val="28"/>
        </w:rPr>
        <w:t>а</w:t>
      </w:r>
      <w:r w:rsidR="00E17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bCs/>
          <w:sz w:val="28"/>
          <w:szCs w:val="28"/>
        </w:rPr>
        <w:t xml:space="preserve">государственные заказчики Свердловской области осуществляли закупки следующими способами (с учётом повторных </w:t>
      </w:r>
      <w:r w:rsidR="00EB53AA" w:rsidRPr="00C2212D">
        <w:rPr>
          <w:rFonts w:ascii="Times New Roman" w:hAnsi="Times New Roman" w:cs="Times New Roman"/>
          <w:bCs/>
          <w:sz w:val="28"/>
          <w:szCs w:val="28"/>
        </w:rPr>
        <w:t>процедур)</w:t>
      </w:r>
      <w:r w:rsidR="00B23E83">
        <w:rPr>
          <w:rFonts w:ascii="Times New Roman" w:hAnsi="Times New Roman" w:cs="Times New Roman"/>
          <w:bCs/>
          <w:sz w:val="28"/>
          <w:szCs w:val="28"/>
        </w:rPr>
        <w:t>:</w:t>
      </w:r>
      <w:r w:rsidRPr="00C2212D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D61922" w:rsidRPr="00C2212D" w:rsidRDefault="00DC7252" w:rsidP="00613955">
      <w:pPr>
        <w:spacing w:line="312" w:lineRule="auto"/>
        <w:ind w:right="-426" w:firstLine="539"/>
        <w:jc w:val="right"/>
        <w:rPr>
          <w:rFonts w:ascii="Times New Roman" w:hAnsi="Times New Roman" w:cs="Times New Roman"/>
          <w:i/>
          <w:noProof/>
          <w:sz w:val="20"/>
          <w:szCs w:val="20"/>
        </w:rPr>
      </w:pPr>
      <w:r w:rsidRPr="00C2212D">
        <w:rPr>
          <w:rFonts w:ascii="Times New Roman" w:hAnsi="Times New Roman" w:cs="Times New Roman"/>
          <w:i/>
          <w:noProof/>
          <w:sz w:val="20"/>
          <w:szCs w:val="20"/>
        </w:rPr>
        <w:t xml:space="preserve">Таблица №2 </w:t>
      </w:r>
    </w:p>
    <w:p w:rsidR="00DC7252" w:rsidRPr="00C2212D" w:rsidRDefault="009F38F4" w:rsidP="00613955">
      <w:pPr>
        <w:spacing w:line="312" w:lineRule="auto"/>
        <w:ind w:right="-426" w:firstLine="539"/>
        <w:jc w:val="right"/>
        <w:rPr>
          <w:rFonts w:ascii="Times New Roman" w:hAnsi="Times New Roman" w:cs="Times New Roman"/>
          <w:i/>
          <w:noProof/>
          <w:sz w:val="20"/>
          <w:szCs w:val="20"/>
        </w:rPr>
      </w:pPr>
      <w:r w:rsidRPr="00C2212D">
        <w:rPr>
          <w:rFonts w:ascii="Times New Roman" w:hAnsi="Times New Roman" w:cs="Times New Roman"/>
          <w:i/>
          <w:noProof/>
          <w:sz w:val="20"/>
          <w:szCs w:val="20"/>
        </w:rPr>
        <w:t>И</w:t>
      </w:r>
      <w:r w:rsidR="00DC7252" w:rsidRPr="00C2212D">
        <w:rPr>
          <w:rFonts w:ascii="Times New Roman" w:hAnsi="Times New Roman" w:cs="Times New Roman"/>
          <w:i/>
          <w:noProof/>
          <w:sz w:val="20"/>
          <w:szCs w:val="20"/>
        </w:rPr>
        <w:t xml:space="preserve">нформция по </w:t>
      </w:r>
      <w:r w:rsidR="00D66F2E">
        <w:rPr>
          <w:rFonts w:ascii="Times New Roman" w:hAnsi="Times New Roman" w:cs="Times New Roman"/>
          <w:i/>
          <w:noProof/>
          <w:sz w:val="20"/>
          <w:szCs w:val="20"/>
        </w:rPr>
        <w:t>опубликованным</w:t>
      </w:r>
      <w:r w:rsidR="00DC7252" w:rsidRPr="00C2212D">
        <w:rPr>
          <w:rFonts w:ascii="Times New Roman" w:hAnsi="Times New Roman" w:cs="Times New Roman"/>
          <w:i/>
          <w:noProof/>
          <w:sz w:val="20"/>
          <w:szCs w:val="20"/>
        </w:rPr>
        <w:t xml:space="preserve"> извещениям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970"/>
        <w:gridCol w:w="2268"/>
        <w:gridCol w:w="1843"/>
        <w:gridCol w:w="2126"/>
      </w:tblGrid>
      <w:tr w:rsidR="00866FED" w:rsidRPr="00C2212D" w:rsidTr="00FC1FE6">
        <w:trPr>
          <w:trHeight w:val="12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C2212D" w:rsidRDefault="00866FED" w:rsidP="00597870">
            <w:pPr>
              <w:widowControl/>
              <w:autoSpaceDE/>
              <w:autoSpaceDN/>
              <w:adjustRightInd/>
              <w:spacing w:line="312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Способ определения поставщика (подрядчика, исполнителя)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C2212D" w:rsidRDefault="00866FED" w:rsidP="00D66F2E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/>
                <w:sz w:val="22"/>
                <w:szCs w:val="22"/>
              </w:rPr>
              <w:t>Кол</w:t>
            </w:r>
            <w:r w:rsidR="00D66F2E">
              <w:rPr>
                <w:rFonts w:ascii="Times New Roman" w:hAnsi="Times New Roman" w:cs="Times New Roman"/>
                <w:b/>
                <w:sz w:val="22"/>
                <w:szCs w:val="22"/>
              </w:rPr>
              <w:t>ичество</w:t>
            </w:r>
            <w:r w:rsidRPr="00C221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66F2E" w:rsidRPr="00D66F2E">
              <w:rPr>
                <w:rFonts w:ascii="Times New Roman" w:hAnsi="Times New Roman" w:cs="Times New Roman"/>
                <w:b/>
                <w:sz w:val="22"/>
                <w:szCs w:val="22"/>
              </w:rPr>
              <w:t>опубликованны</w:t>
            </w:r>
            <w:r w:rsidR="00D66F2E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  <w:r w:rsidR="00D66F2E" w:rsidRPr="00D66F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2212D">
              <w:rPr>
                <w:rFonts w:ascii="Times New Roman" w:hAnsi="Times New Roman" w:cs="Times New Roman"/>
                <w:b/>
                <w:sz w:val="22"/>
                <w:szCs w:val="22"/>
              </w:rPr>
              <w:t>извещений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C2212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Суммарное значение НМЦК </w:t>
            </w:r>
            <w:r w:rsidRPr="00C2212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(млн. рублей.)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6FED" w:rsidRPr="00C2212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/>
                <w:sz w:val="22"/>
                <w:szCs w:val="22"/>
              </w:rPr>
              <w:t>Доля от общего количества закупок</w:t>
            </w:r>
          </w:p>
        </w:tc>
      </w:tr>
      <w:tr w:rsidR="00866FED" w:rsidRPr="00C2212D" w:rsidTr="002D355B">
        <w:trPr>
          <w:trHeight w:val="3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C2212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открытые конкурсы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281,97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FD6A2E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0,58</w:t>
            </w:r>
          </w:p>
        </w:tc>
      </w:tr>
      <w:tr w:rsidR="00866FED" w:rsidRPr="00C2212D" w:rsidTr="002D355B">
        <w:trPr>
          <w:trHeight w:val="3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C2212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открытые конкурсы с ограниченным участием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33,12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FD6A2E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</w:tr>
      <w:tr w:rsidR="00866FED" w:rsidRPr="00C2212D" w:rsidTr="002D355B">
        <w:trPr>
          <w:trHeight w:val="3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C2212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открытые двухэтапные конкурсы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FED" w:rsidRPr="00C2212D" w:rsidTr="002D355B">
        <w:trPr>
          <w:trHeight w:val="3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C2212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электронные аукционы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15012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20136,55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FD6A2E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74,56</w:t>
            </w:r>
          </w:p>
        </w:tc>
      </w:tr>
      <w:tr w:rsidR="004466A6" w:rsidRPr="00C2212D" w:rsidTr="002D355B">
        <w:trPr>
          <w:trHeight w:val="3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A6" w:rsidRPr="00C2212D" w:rsidRDefault="004466A6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запросы котировок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A6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2392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A6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292,3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A6" w:rsidRPr="00C2212D" w:rsidRDefault="00FD6A2E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11,88</w:t>
            </w:r>
          </w:p>
        </w:tc>
      </w:tr>
      <w:tr w:rsidR="00866FED" w:rsidRPr="00C2212D" w:rsidTr="002D355B">
        <w:trPr>
          <w:trHeight w:val="3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C2212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запросы предложений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FD6A2E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</w:tr>
      <w:tr w:rsidR="00866FED" w:rsidRPr="00C2212D" w:rsidTr="002D355B">
        <w:trPr>
          <w:trHeight w:val="7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C2212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закупки у единственного поставщика (подрядчика, исполнителя)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2353,4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FD6A2E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12,89</w:t>
            </w:r>
          </w:p>
        </w:tc>
      </w:tr>
      <w:tr w:rsidR="00866FED" w:rsidRPr="00C2212D" w:rsidTr="002D355B">
        <w:trPr>
          <w:trHeight w:val="9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D" w:rsidRPr="00C2212D" w:rsidRDefault="00866FED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способам определения поставщика (подрядчика, исполнителя):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443AFF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20 133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0EEF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23 119,84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FED" w:rsidRPr="00C2212D" w:rsidRDefault="002D355B" w:rsidP="005248BB">
            <w:pPr>
              <w:widowControl/>
              <w:autoSpaceDE/>
              <w:autoSpaceDN/>
              <w:adjustRightInd/>
              <w:spacing w:line="312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212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E17841" w:rsidRDefault="00E17841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8D6950" w:rsidRPr="00C2212D" w:rsidRDefault="00DD7742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03E01" wp14:editId="4DC77FE8">
                <wp:simplePos x="0" y="0"/>
                <wp:positionH relativeFrom="column">
                  <wp:posOffset>2089785</wp:posOffset>
                </wp:positionH>
                <wp:positionV relativeFrom="paragraph">
                  <wp:posOffset>1431290</wp:posOffset>
                </wp:positionV>
                <wp:extent cx="2362200" cy="20955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2D3D" w:rsidRPr="00E04DD8" w:rsidRDefault="00C62D3D" w:rsidP="00E04DD8">
                            <w:pPr>
                              <w:pStyle w:val="af"/>
                              <w:ind w:firstLine="0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04DD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количеству</w:t>
                            </w:r>
                            <w:r w:rsidRPr="00E04DD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извещений (шт.)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64.55pt;margin-top:112.7pt;width:186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" stroked="f">
                <v:textbox inset="0,0,0,0">
                  <w:txbxContent>
                    <w:p w:rsidR="00C62D3D" w:rsidRPr="00E04DD8" w:rsidRDefault="00C62D3D" w:rsidP="00E04DD8">
                      <w:pPr>
                        <w:pStyle w:val="af"/>
                        <w:ind w:firstLine="0"/>
                        <w:rPr>
                          <w:rFonts w:ascii="Times New Roman" w:hAnsi="Times New Roman" w:cs="Times New Roman"/>
                          <w:i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E04DD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количеству</w:t>
                      </w:r>
                      <w:r w:rsidRPr="00E04DD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извещений (шт.)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7841" w:rsidRPr="00C2212D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976064" wp14:editId="2659A589">
            <wp:simplePos x="0" y="0"/>
            <wp:positionH relativeFrom="column">
              <wp:posOffset>-156210</wp:posOffset>
            </wp:positionH>
            <wp:positionV relativeFrom="paragraph">
              <wp:posOffset>1356995</wp:posOffset>
            </wp:positionV>
            <wp:extent cx="6076315" cy="3158490"/>
            <wp:effectExtent l="0" t="0" r="635" b="3810"/>
            <wp:wrapSquare wrapText="bothSides"/>
            <wp:docPr id="31" name="Диаграмма 31" title="вапвапывпы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50" w:rsidRPr="00C2212D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="008D695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2D0EEF" w:rsidRPr="00C2212D">
        <w:rPr>
          <w:rFonts w:ascii="Times New Roman" w:hAnsi="Times New Roman" w:cs="Times New Roman"/>
          <w:b/>
          <w:i/>
          <w:sz w:val="28"/>
          <w:szCs w:val="28"/>
        </w:rPr>
        <w:t>20 133</w:t>
      </w:r>
      <w:r w:rsidR="002819A3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66A6" w:rsidRPr="00C2212D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="008D6950" w:rsidRPr="00C2212D">
        <w:rPr>
          <w:rFonts w:ascii="Times New Roman" w:hAnsi="Times New Roman" w:cs="Times New Roman"/>
          <w:sz w:val="28"/>
          <w:szCs w:val="28"/>
        </w:rPr>
        <w:t xml:space="preserve"> с общим суммарным значением начальной максимальной цены контракта </w:t>
      </w:r>
      <w:r w:rsidR="002D0EEF" w:rsidRPr="00C2212D">
        <w:rPr>
          <w:rFonts w:ascii="Times New Roman" w:hAnsi="Times New Roman" w:cs="Times New Roman"/>
          <w:b/>
          <w:i/>
          <w:sz w:val="28"/>
          <w:szCs w:val="28"/>
        </w:rPr>
        <w:t>23 119,84</w:t>
      </w:r>
      <w:r w:rsidR="008D695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2819A3" w:rsidRPr="00C2212D">
        <w:rPr>
          <w:rFonts w:ascii="Times New Roman" w:hAnsi="Times New Roman" w:cs="Times New Roman"/>
          <w:sz w:val="28"/>
          <w:szCs w:val="28"/>
        </w:rPr>
        <w:t xml:space="preserve">млн. рублей, из них было отменено </w:t>
      </w:r>
      <w:r w:rsidR="005156DF" w:rsidRPr="00C2212D">
        <w:rPr>
          <w:rFonts w:ascii="Times New Roman" w:hAnsi="Times New Roman" w:cs="Times New Roman"/>
          <w:b/>
          <w:i/>
          <w:sz w:val="28"/>
          <w:szCs w:val="28"/>
        </w:rPr>
        <w:t>325</w:t>
      </w:r>
      <w:r w:rsidR="002819A3" w:rsidRPr="00C2212D">
        <w:rPr>
          <w:rFonts w:ascii="Times New Roman" w:hAnsi="Times New Roman" w:cs="Times New Roman"/>
          <w:sz w:val="28"/>
          <w:szCs w:val="28"/>
        </w:rPr>
        <w:t xml:space="preserve"> процедур на общую сумму </w:t>
      </w:r>
      <w:r w:rsidR="005156DF" w:rsidRPr="00C2212D">
        <w:rPr>
          <w:rFonts w:ascii="Times New Roman" w:hAnsi="Times New Roman" w:cs="Times New Roman"/>
          <w:b/>
          <w:i/>
          <w:sz w:val="28"/>
          <w:szCs w:val="28"/>
        </w:rPr>
        <w:t>296,39</w:t>
      </w:r>
      <w:r w:rsidR="002819A3" w:rsidRPr="00C2212D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2819A3" w:rsidRPr="00C2212D">
        <w:rPr>
          <w:rFonts w:ascii="Times New Roman" w:hAnsi="Times New Roman" w:cs="Times New Roman"/>
          <w:i/>
          <w:sz w:val="28"/>
          <w:szCs w:val="28"/>
        </w:rPr>
        <w:t>(на</w:t>
      </w:r>
      <w:r w:rsidR="00636327" w:rsidRPr="00C2212D">
        <w:rPr>
          <w:rFonts w:ascii="Times New Roman" w:hAnsi="Times New Roman" w:cs="Times New Roman"/>
          <w:i/>
          <w:sz w:val="28"/>
          <w:szCs w:val="28"/>
        </w:rPr>
        <w:t>и</w:t>
      </w:r>
      <w:r w:rsidR="002819A3" w:rsidRPr="00C2212D">
        <w:rPr>
          <w:rFonts w:ascii="Times New Roman" w:hAnsi="Times New Roman" w:cs="Times New Roman"/>
          <w:i/>
          <w:sz w:val="28"/>
          <w:szCs w:val="28"/>
        </w:rPr>
        <w:t xml:space="preserve">большую часть отменённых процедур составил электронный аукцион – более </w:t>
      </w:r>
      <w:r w:rsidR="005156DF" w:rsidRPr="00C2212D">
        <w:rPr>
          <w:rFonts w:ascii="Times New Roman" w:hAnsi="Times New Roman" w:cs="Times New Roman"/>
          <w:i/>
          <w:sz w:val="28"/>
          <w:szCs w:val="28"/>
        </w:rPr>
        <w:t>88</w:t>
      </w:r>
      <w:r w:rsidR="002819A3"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</w:t>
      </w:r>
      <w:r w:rsidR="005156DF" w:rsidRPr="00C2212D">
        <w:rPr>
          <w:rFonts w:ascii="Times New Roman" w:hAnsi="Times New Roman" w:cs="Times New Roman"/>
          <w:i/>
          <w:sz w:val="28"/>
          <w:szCs w:val="28"/>
        </w:rPr>
        <w:t xml:space="preserve"> отмененных</w:t>
      </w:r>
      <w:r w:rsidR="002819A3" w:rsidRPr="00C2212D">
        <w:rPr>
          <w:rFonts w:ascii="Times New Roman" w:hAnsi="Times New Roman" w:cs="Times New Roman"/>
          <w:i/>
          <w:sz w:val="28"/>
          <w:szCs w:val="28"/>
        </w:rPr>
        <w:t>)</w:t>
      </w:r>
      <w:r w:rsidR="00E17841" w:rsidRPr="00E17841">
        <w:rPr>
          <w:rFonts w:ascii="Times New Roman" w:hAnsi="Times New Roman" w:cs="Times New Roman"/>
          <w:sz w:val="28"/>
          <w:szCs w:val="28"/>
        </w:rPr>
        <w:t>.</w:t>
      </w:r>
      <w:r w:rsidR="002819A3" w:rsidRPr="00C22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841" w:rsidRDefault="00E17841" w:rsidP="00613955">
      <w:pPr>
        <w:tabs>
          <w:tab w:val="left" w:pos="709"/>
          <w:tab w:val="left" w:pos="1134"/>
        </w:tabs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</w:p>
    <w:p w:rsidR="00140037" w:rsidRPr="00C2212D" w:rsidRDefault="00796874" w:rsidP="00613955">
      <w:pPr>
        <w:tabs>
          <w:tab w:val="left" w:pos="709"/>
          <w:tab w:val="left" w:pos="1134"/>
        </w:tabs>
        <w:spacing w:line="312" w:lineRule="auto"/>
        <w:ind w:right="142"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C2212D">
        <w:rPr>
          <w:rFonts w:ascii="Times New Roman" w:hAnsi="Times New Roman" w:cs="Times New Roman"/>
          <w:sz w:val="28"/>
          <w:szCs w:val="28"/>
        </w:rPr>
        <w:t>Таким образом,</w:t>
      </w:r>
      <w:r w:rsidR="00E17841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общее количество закупок (без учета отмененных </w:t>
      </w:r>
      <w:r w:rsidR="00F23CDA" w:rsidRPr="00C2212D">
        <w:rPr>
          <w:rFonts w:ascii="Times New Roman" w:hAnsi="Times New Roman" w:cs="Times New Roman"/>
          <w:sz w:val="28"/>
          <w:szCs w:val="28"/>
        </w:rPr>
        <w:t xml:space="preserve"> процедур)</w:t>
      </w:r>
      <w:r w:rsidR="00140037" w:rsidRPr="00C2212D">
        <w:rPr>
          <w:rFonts w:ascii="Times New Roman" w:hAnsi="Times New Roman" w:cs="Times New Roman"/>
          <w:sz w:val="28"/>
          <w:szCs w:val="28"/>
        </w:rPr>
        <w:t xml:space="preserve">, </w:t>
      </w:r>
      <w:r w:rsidR="00C7713E">
        <w:rPr>
          <w:rFonts w:ascii="Times New Roman" w:hAnsi="Times New Roman" w:cs="Times New Roman"/>
          <w:sz w:val="28"/>
          <w:szCs w:val="28"/>
        </w:rPr>
        <w:t>опубликованных</w:t>
      </w:r>
      <w:r w:rsidR="00140037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E17841">
        <w:rPr>
          <w:rFonts w:ascii="Times New Roman" w:hAnsi="Times New Roman" w:cs="Times New Roman"/>
          <w:sz w:val="28"/>
          <w:szCs w:val="28"/>
        </w:rPr>
        <w:t>за период с 01.01.2018 по 30.06.2018</w:t>
      </w:r>
      <w:r w:rsidR="00C7713E">
        <w:rPr>
          <w:rFonts w:ascii="Times New Roman" w:hAnsi="Times New Roman" w:cs="Times New Roman"/>
          <w:sz w:val="28"/>
          <w:szCs w:val="28"/>
        </w:rPr>
        <w:t>,</w:t>
      </w:r>
      <w:r w:rsidR="00C84B26" w:rsidRPr="00C84B26">
        <w:rPr>
          <w:rFonts w:ascii="Times New Roman" w:hAnsi="Times New Roman" w:cs="Times New Roman"/>
          <w:sz w:val="28"/>
          <w:szCs w:val="28"/>
        </w:rPr>
        <w:t xml:space="preserve"> </w:t>
      </w:r>
      <w:r w:rsidR="00C06C0F" w:rsidRPr="00C2212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D0EEF" w:rsidRPr="00C2212D">
        <w:rPr>
          <w:rFonts w:ascii="Times New Roman" w:hAnsi="Times New Roman" w:cs="Times New Roman"/>
          <w:sz w:val="28"/>
          <w:szCs w:val="28"/>
        </w:rPr>
        <w:t>–</w:t>
      </w:r>
      <w:r w:rsidR="00C06C0F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2D0EEF" w:rsidRPr="00C2212D">
        <w:rPr>
          <w:rFonts w:ascii="Times New Roman" w:hAnsi="Times New Roman" w:cs="Times New Roman"/>
          <w:b/>
          <w:i/>
          <w:sz w:val="28"/>
          <w:szCs w:val="28"/>
        </w:rPr>
        <w:t>19 808</w:t>
      </w:r>
      <w:r w:rsidR="00140037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7A58" w:rsidRPr="00C2212D">
        <w:rPr>
          <w:rFonts w:ascii="Times New Roman" w:hAnsi="Times New Roman" w:cs="Times New Roman"/>
          <w:b/>
          <w:i/>
          <w:sz w:val="28"/>
          <w:szCs w:val="28"/>
        </w:rPr>
        <w:t>извещений</w:t>
      </w:r>
      <w:r w:rsidR="00140037" w:rsidRPr="00C2212D">
        <w:rPr>
          <w:rFonts w:ascii="Times New Roman" w:hAnsi="Times New Roman" w:cs="Times New Roman"/>
          <w:sz w:val="28"/>
          <w:szCs w:val="28"/>
        </w:rPr>
        <w:t>,</w:t>
      </w:r>
      <w:r w:rsidR="00C06C0F" w:rsidRPr="00C2212D">
        <w:rPr>
          <w:rFonts w:ascii="Times New Roman" w:hAnsi="Times New Roman" w:cs="Times New Roman"/>
          <w:sz w:val="28"/>
          <w:szCs w:val="28"/>
        </w:rPr>
        <w:t xml:space="preserve"> и</w:t>
      </w:r>
      <w:r w:rsidR="00140037" w:rsidRPr="00C2212D">
        <w:rPr>
          <w:rFonts w:ascii="Times New Roman" w:hAnsi="Times New Roman" w:cs="Times New Roman"/>
          <w:sz w:val="28"/>
          <w:szCs w:val="28"/>
        </w:rPr>
        <w:t xml:space="preserve"> возросло на </w:t>
      </w:r>
      <w:r w:rsidR="00F3104F" w:rsidRPr="00C2212D">
        <w:rPr>
          <w:rFonts w:ascii="Times New Roman" w:hAnsi="Times New Roman" w:cs="Times New Roman"/>
          <w:sz w:val="28"/>
          <w:szCs w:val="28"/>
        </w:rPr>
        <w:t>4,5</w:t>
      </w:r>
      <w:r w:rsidR="00140037" w:rsidRPr="00C2212D">
        <w:rPr>
          <w:rFonts w:ascii="Times New Roman" w:hAnsi="Times New Roman" w:cs="Times New Roman"/>
          <w:sz w:val="28"/>
          <w:szCs w:val="28"/>
        </w:rPr>
        <w:t>% по сравнению с аналогичным периодом 201</w:t>
      </w:r>
      <w:r w:rsidR="00D6198F" w:rsidRPr="00C2212D">
        <w:rPr>
          <w:rFonts w:ascii="Times New Roman" w:hAnsi="Times New Roman" w:cs="Times New Roman"/>
          <w:sz w:val="28"/>
          <w:szCs w:val="28"/>
        </w:rPr>
        <w:t>7</w:t>
      </w:r>
      <w:r w:rsidR="00140037" w:rsidRPr="00C2212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140037" w:rsidRPr="00C2212D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 w:rsidR="00E17841">
        <w:rPr>
          <w:rFonts w:ascii="Times New Roman" w:hAnsi="Times New Roman" w:cs="Times New Roman"/>
          <w:i/>
          <w:sz w:val="28"/>
          <w:szCs w:val="28"/>
        </w:rPr>
        <w:t>опубликованных</w:t>
      </w:r>
      <w:r w:rsidR="00140037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7A58" w:rsidRPr="00C2212D">
        <w:rPr>
          <w:rFonts w:ascii="Times New Roman" w:hAnsi="Times New Roman" w:cs="Times New Roman"/>
          <w:i/>
          <w:sz w:val="28"/>
          <w:szCs w:val="28"/>
        </w:rPr>
        <w:t>извещений</w:t>
      </w:r>
      <w:r w:rsidR="00D6198F" w:rsidRPr="00C2212D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D6198F" w:rsidRPr="00C22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6198F" w:rsidRPr="00C2212D">
        <w:rPr>
          <w:rFonts w:ascii="Times New Roman" w:hAnsi="Times New Roman" w:cs="Times New Roman"/>
          <w:i/>
          <w:sz w:val="28"/>
          <w:szCs w:val="28"/>
        </w:rPr>
        <w:t xml:space="preserve"> полугодии 2017 г.</w:t>
      </w:r>
      <w:r w:rsidR="001A75DD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04F" w:rsidRPr="00C2212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6198F" w:rsidRPr="00C2212D">
        <w:rPr>
          <w:rFonts w:ascii="Times New Roman" w:hAnsi="Times New Roman" w:cs="Times New Roman"/>
          <w:i/>
          <w:sz w:val="28"/>
          <w:szCs w:val="28"/>
        </w:rPr>
        <w:t>18 935</w:t>
      </w:r>
      <w:r w:rsidR="001A75DD" w:rsidRPr="00C2212D">
        <w:rPr>
          <w:rFonts w:ascii="Times New Roman" w:hAnsi="Times New Roman" w:cs="Times New Roman"/>
          <w:i/>
          <w:sz w:val="28"/>
          <w:szCs w:val="28"/>
        </w:rPr>
        <w:t xml:space="preserve"> шт.</w:t>
      </w:r>
      <w:r w:rsidR="00140037" w:rsidRPr="00C2212D">
        <w:rPr>
          <w:rFonts w:ascii="Times New Roman" w:hAnsi="Times New Roman" w:cs="Times New Roman"/>
          <w:sz w:val="28"/>
          <w:szCs w:val="28"/>
        </w:rPr>
        <w:t>)</w:t>
      </w:r>
      <w:r w:rsidR="00644BDD" w:rsidRPr="00C2212D">
        <w:rPr>
          <w:rFonts w:ascii="Times New Roman" w:hAnsi="Times New Roman" w:cs="Times New Roman"/>
          <w:sz w:val="28"/>
          <w:szCs w:val="28"/>
        </w:rPr>
        <w:t>, при этом</w:t>
      </w:r>
      <w:r w:rsidR="001A75DD" w:rsidRPr="00C2212D">
        <w:rPr>
          <w:rFonts w:ascii="Times New Roman" w:hAnsi="Times New Roman" w:cs="Times New Roman"/>
          <w:sz w:val="28"/>
          <w:szCs w:val="28"/>
        </w:rPr>
        <w:t>,</w:t>
      </w:r>
      <w:r w:rsidR="00644BDD" w:rsidRPr="00C2212D">
        <w:rPr>
          <w:rFonts w:ascii="Times New Roman" w:hAnsi="Times New Roman" w:cs="Times New Roman"/>
          <w:sz w:val="28"/>
          <w:szCs w:val="28"/>
        </w:rPr>
        <w:t xml:space="preserve"> общая сумма НМЦК </w:t>
      </w:r>
      <w:r w:rsidR="00644BDD" w:rsidRPr="00C2212D">
        <w:rPr>
          <w:rFonts w:ascii="Times New Roman" w:hAnsi="Times New Roman" w:cs="Times New Roman"/>
          <w:i/>
          <w:sz w:val="28"/>
          <w:szCs w:val="28"/>
        </w:rPr>
        <w:t>по</w:t>
      </w:r>
      <w:r w:rsidR="00644BD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644BDD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841">
        <w:rPr>
          <w:rFonts w:ascii="Times New Roman" w:hAnsi="Times New Roman" w:cs="Times New Roman"/>
          <w:i/>
          <w:sz w:val="28"/>
          <w:szCs w:val="28"/>
        </w:rPr>
        <w:t>опубликованным</w:t>
      </w:r>
      <w:r w:rsidR="00E17841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5DD" w:rsidRPr="00C2212D">
        <w:rPr>
          <w:rFonts w:ascii="Times New Roman" w:hAnsi="Times New Roman" w:cs="Times New Roman"/>
          <w:i/>
          <w:sz w:val="28"/>
          <w:szCs w:val="28"/>
        </w:rPr>
        <w:t>извещениям</w:t>
      </w:r>
      <w:r w:rsidR="008F7A58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0EEF" w:rsidRPr="00C2212D">
        <w:rPr>
          <w:rFonts w:ascii="Times New Roman" w:hAnsi="Times New Roman" w:cs="Times New Roman"/>
          <w:b/>
          <w:i/>
          <w:sz w:val="28"/>
          <w:szCs w:val="28"/>
        </w:rPr>
        <w:t>22 823,45</w:t>
      </w:r>
      <w:r w:rsidR="00644BDD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млн.</w:t>
      </w:r>
      <w:r w:rsidR="001A3C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4BDD" w:rsidRPr="00C2212D">
        <w:rPr>
          <w:rFonts w:ascii="Times New Roman" w:hAnsi="Times New Roman" w:cs="Times New Roman"/>
          <w:b/>
          <w:i/>
          <w:sz w:val="28"/>
          <w:szCs w:val="28"/>
        </w:rPr>
        <w:t>руб</w:t>
      </w:r>
      <w:r w:rsidR="0000615E" w:rsidRPr="00C221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44BD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D6198F" w:rsidRPr="00C2212D">
        <w:rPr>
          <w:rFonts w:ascii="Times New Roman" w:hAnsi="Times New Roman" w:cs="Times New Roman"/>
          <w:sz w:val="28"/>
          <w:szCs w:val="28"/>
        </w:rPr>
        <w:t>снизилась</w:t>
      </w:r>
      <w:r w:rsidR="00644BDD" w:rsidRPr="00C2212D">
        <w:rPr>
          <w:rFonts w:ascii="Times New Roman" w:hAnsi="Times New Roman" w:cs="Times New Roman"/>
          <w:sz w:val="28"/>
          <w:szCs w:val="28"/>
        </w:rPr>
        <w:t xml:space="preserve"> на </w:t>
      </w:r>
      <w:r w:rsidR="00D6198F" w:rsidRPr="00C2212D">
        <w:rPr>
          <w:rFonts w:ascii="Times New Roman" w:hAnsi="Times New Roman" w:cs="Times New Roman"/>
          <w:sz w:val="28"/>
          <w:szCs w:val="28"/>
        </w:rPr>
        <w:t>15,6</w:t>
      </w:r>
      <w:r w:rsidR="00644BDD" w:rsidRPr="00C2212D">
        <w:rPr>
          <w:rFonts w:ascii="Times New Roman" w:hAnsi="Times New Roman" w:cs="Times New Roman"/>
          <w:sz w:val="28"/>
          <w:szCs w:val="28"/>
        </w:rPr>
        <w:t>% по сравнению с</w:t>
      </w:r>
      <w:proofErr w:type="gramEnd"/>
      <w:r w:rsidR="00644BDD" w:rsidRPr="00C2212D">
        <w:rPr>
          <w:rFonts w:ascii="Times New Roman" w:hAnsi="Times New Roman" w:cs="Times New Roman"/>
          <w:sz w:val="28"/>
          <w:szCs w:val="28"/>
        </w:rPr>
        <w:t xml:space="preserve"> аналогичным периодом 201</w:t>
      </w:r>
      <w:r w:rsidR="00D6198F" w:rsidRPr="00C2212D">
        <w:rPr>
          <w:rFonts w:ascii="Times New Roman" w:hAnsi="Times New Roman" w:cs="Times New Roman"/>
          <w:sz w:val="28"/>
          <w:szCs w:val="28"/>
        </w:rPr>
        <w:t>7</w:t>
      </w:r>
      <w:r w:rsidR="00644BDD" w:rsidRPr="00C2212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44BDD" w:rsidRPr="00C2212D">
        <w:rPr>
          <w:rFonts w:ascii="Times New Roman" w:hAnsi="Times New Roman" w:cs="Times New Roman"/>
          <w:i/>
          <w:sz w:val="28"/>
          <w:szCs w:val="28"/>
        </w:rPr>
        <w:t xml:space="preserve">НМЦК по </w:t>
      </w:r>
      <w:r w:rsidR="00E17841">
        <w:rPr>
          <w:rFonts w:ascii="Times New Roman" w:hAnsi="Times New Roman" w:cs="Times New Roman"/>
          <w:i/>
          <w:sz w:val="28"/>
          <w:szCs w:val="28"/>
        </w:rPr>
        <w:t>опубликованным</w:t>
      </w:r>
      <w:r w:rsidR="00E17841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5DD" w:rsidRPr="00C2212D">
        <w:rPr>
          <w:rFonts w:ascii="Times New Roman" w:hAnsi="Times New Roman" w:cs="Times New Roman"/>
          <w:i/>
          <w:sz w:val="28"/>
          <w:szCs w:val="28"/>
        </w:rPr>
        <w:t>извещениям</w:t>
      </w:r>
      <w:r w:rsidR="00C06C0F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B26" w:rsidRPr="00C84B26">
        <w:rPr>
          <w:rFonts w:ascii="Times New Roman" w:hAnsi="Times New Roman" w:cs="Times New Roman"/>
          <w:i/>
          <w:sz w:val="28"/>
          <w:szCs w:val="28"/>
        </w:rPr>
        <w:br/>
      </w:r>
      <w:r w:rsidR="00D6198F" w:rsidRPr="00C2212D">
        <w:rPr>
          <w:rFonts w:ascii="Times New Roman" w:hAnsi="Times New Roman" w:cs="Times New Roman"/>
          <w:i/>
          <w:sz w:val="28"/>
          <w:szCs w:val="28"/>
        </w:rPr>
        <w:t>34 137,8</w:t>
      </w:r>
      <w:r w:rsidR="00644BDD" w:rsidRPr="00C2212D">
        <w:rPr>
          <w:rFonts w:ascii="Times New Roman" w:hAnsi="Times New Roman" w:cs="Times New Roman"/>
          <w:i/>
          <w:sz w:val="28"/>
          <w:szCs w:val="28"/>
        </w:rPr>
        <w:t xml:space="preserve"> млн.</w:t>
      </w:r>
      <w:r w:rsidR="00E101F9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BDD" w:rsidRPr="00C2212D">
        <w:rPr>
          <w:rFonts w:ascii="Times New Roman" w:hAnsi="Times New Roman" w:cs="Times New Roman"/>
          <w:i/>
          <w:sz w:val="28"/>
          <w:szCs w:val="28"/>
        </w:rPr>
        <w:t>руб</w:t>
      </w:r>
      <w:r w:rsidR="00D6198F" w:rsidRPr="00C2212D">
        <w:rPr>
          <w:rFonts w:ascii="Times New Roman" w:hAnsi="Times New Roman" w:cs="Times New Roman"/>
          <w:i/>
          <w:sz w:val="28"/>
          <w:szCs w:val="28"/>
        </w:rPr>
        <w:t>.</w:t>
      </w:r>
      <w:r w:rsidR="00644BDD" w:rsidRPr="00C2212D">
        <w:rPr>
          <w:rFonts w:ascii="Times New Roman" w:hAnsi="Times New Roman" w:cs="Times New Roman"/>
          <w:sz w:val="28"/>
          <w:szCs w:val="28"/>
        </w:rPr>
        <w:t>)</w:t>
      </w:r>
      <w:r w:rsidR="00D6198F" w:rsidRPr="00C2212D">
        <w:rPr>
          <w:rFonts w:ascii="Times New Roman" w:hAnsi="Times New Roman" w:cs="Times New Roman"/>
          <w:sz w:val="28"/>
          <w:szCs w:val="28"/>
        </w:rPr>
        <w:t>.</w:t>
      </w:r>
    </w:p>
    <w:p w:rsidR="00FC6CB8" w:rsidRPr="00C2212D" w:rsidRDefault="00C7713E" w:rsidP="00613955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C2212D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08B7EFA" wp14:editId="5292E4AE">
            <wp:simplePos x="0" y="0"/>
            <wp:positionH relativeFrom="column">
              <wp:posOffset>-22860</wp:posOffset>
            </wp:positionH>
            <wp:positionV relativeFrom="paragraph">
              <wp:posOffset>1137285</wp:posOffset>
            </wp:positionV>
            <wp:extent cx="6076315" cy="3150235"/>
            <wp:effectExtent l="0" t="0" r="0" b="0"/>
            <wp:wrapSquare wrapText="bothSides"/>
            <wp:docPr id="4107" name="Диаграмма 4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F52" w:rsidRPr="00C2212D">
        <w:rPr>
          <w:rFonts w:ascii="Times New Roman" w:hAnsi="Times New Roman" w:cs="Times New Roman"/>
          <w:color w:val="000000"/>
          <w:sz w:val="28"/>
          <w:szCs w:val="28"/>
        </w:rPr>
        <w:t>Некон</w:t>
      </w:r>
      <w:r w:rsidR="005C21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курентными способами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C2184" w:rsidRPr="00C2212D">
        <w:rPr>
          <w:rFonts w:ascii="Times New Roman" w:hAnsi="Times New Roman" w:cs="Times New Roman"/>
          <w:color w:val="000000"/>
          <w:sz w:val="28"/>
          <w:szCs w:val="28"/>
        </w:rPr>
        <w:t>закупки у единственного поставщика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21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1A75DD" w:rsidRPr="00C221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C21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742">
        <w:rPr>
          <w:rFonts w:ascii="Times New Roman" w:hAnsi="Times New Roman" w:cs="Times New Roman"/>
          <w:color w:val="000000"/>
          <w:sz w:val="28"/>
          <w:szCs w:val="28"/>
        </w:rPr>
        <w:t>опубликовано</w:t>
      </w:r>
      <w:r w:rsidR="005C21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98F" w:rsidRPr="00C2212D">
        <w:rPr>
          <w:rFonts w:ascii="Times New Roman" w:hAnsi="Times New Roman" w:cs="Times New Roman"/>
          <w:b/>
          <w:i/>
          <w:color w:val="000000"/>
          <w:sz w:val="28"/>
          <w:szCs w:val="28"/>
        </w:rPr>
        <w:t>2594</w:t>
      </w:r>
      <w:r w:rsidR="001A75DD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05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извещений </w:t>
      </w:r>
      <w:r w:rsidR="00AA3F52" w:rsidRPr="00C2212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6198F" w:rsidRPr="00C2212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6198F" w:rsidRPr="00C22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6198F" w:rsidRPr="00C2212D">
        <w:rPr>
          <w:rFonts w:ascii="Times New Roman" w:hAnsi="Times New Roman" w:cs="Times New Roman"/>
          <w:i/>
          <w:sz w:val="28"/>
          <w:szCs w:val="28"/>
        </w:rPr>
        <w:t xml:space="preserve"> полугодии 2017 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F52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D6198F" w:rsidRPr="00C2212D">
        <w:rPr>
          <w:rFonts w:ascii="Times New Roman" w:hAnsi="Times New Roman" w:cs="Times New Roman"/>
          <w:i/>
          <w:color w:val="000000"/>
          <w:sz w:val="28"/>
          <w:szCs w:val="28"/>
        </w:rPr>
        <w:t>2784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D6198F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уменьшение на 7</w:t>
      </w:r>
      <w:r w:rsidR="00AA3F52" w:rsidRPr="00C2212D">
        <w:rPr>
          <w:rFonts w:ascii="Times New Roman" w:hAnsi="Times New Roman" w:cs="Times New Roman"/>
          <w:i/>
          <w:color w:val="000000"/>
          <w:sz w:val="28"/>
          <w:szCs w:val="28"/>
        </w:rPr>
        <w:t>% по количеству</w:t>
      </w:r>
      <w:r w:rsidR="00AA3F52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) на сумму </w:t>
      </w:r>
      <w:r w:rsidR="00D6198F" w:rsidRPr="00C2212D">
        <w:rPr>
          <w:rFonts w:ascii="Times New Roman" w:hAnsi="Times New Roman" w:cs="Times New Roman"/>
          <w:b/>
          <w:i/>
          <w:color w:val="000000"/>
          <w:sz w:val="28"/>
          <w:szCs w:val="28"/>
        </w:rPr>
        <w:t>2353,4</w:t>
      </w:r>
      <w:r w:rsidR="00D6198F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F52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1F9" w:rsidRPr="00C2212D">
        <w:rPr>
          <w:rFonts w:ascii="Times New Roman" w:hAnsi="Times New Roman" w:cs="Times New Roman"/>
          <w:color w:val="000000"/>
          <w:sz w:val="28"/>
          <w:szCs w:val="28"/>
        </w:rPr>
        <w:t>млн. рублей</w:t>
      </w:r>
      <w:r w:rsidR="00AA3F52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6198F" w:rsidRPr="00C2212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6198F" w:rsidRPr="00C22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6198F" w:rsidRPr="00C2212D">
        <w:rPr>
          <w:rFonts w:ascii="Times New Roman" w:hAnsi="Times New Roman" w:cs="Times New Roman"/>
          <w:i/>
          <w:sz w:val="28"/>
          <w:szCs w:val="28"/>
        </w:rPr>
        <w:t xml:space="preserve"> полугодии 2017 г.</w:t>
      </w:r>
      <w:r w:rsidR="00AA3F52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D6198F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2186,32 </w:t>
      </w:r>
      <w:r w:rsidR="00AA3F52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D6198F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A3F52" w:rsidRPr="00C2212D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AA3F52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6198F" w:rsidRPr="00C2212D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="00AA3F52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сумме на </w:t>
      </w:r>
      <w:r w:rsidR="00096D51" w:rsidRPr="00C2212D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AA3F52" w:rsidRPr="00C2212D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AA3F52" w:rsidRPr="00C2212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6E60" w:rsidRDefault="00386E60" w:rsidP="004B3B2A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FD4910" w:rsidRPr="00C2212D" w:rsidRDefault="00C748EA" w:rsidP="004B3B2A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C2212D">
        <w:rPr>
          <w:rFonts w:ascii="Times New Roman" w:hAnsi="Times New Roman" w:cs="Times New Roman"/>
          <w:color w:val="000000"/>
          <w:sz w:val="28"/>
          <w:szCs w:val="28"/>
        </w:rPr>
        <w:t>Основным способом определения поставщиков (подрядчиков, исполнителей) с 2014 года продолжает являться электронный аукцион</w:t>
      </w:r>
      <w:r w:rsidR="0087174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5DD" w:rsidRPr="00C22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174A" w:rsidRPr="00C2212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7174A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более </w:t>
      </w:r>
      <w:r w:rsidR="005964B3" w:rsidRPr="00C2212D">
        <w:rPr>
          <w:rFonts w:ascii="Times New Roman" w:hAnsi="Times New Roman" w:cs="Times New Roman"/>
          <w:i/>
          <w:color w:val="000000"/>
          <w:sz w:val="28"/>
          <w:szCs w:val="28"/>
        </w:rPr>
        <w:t>75,8</w:t>
      </w:r>
      <w:r w:rsidR="0087174A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количества </w:t>
      </w:r>
      <w:r w:rsidR="00E17841">
        <w:rPr>
          <w:rFonts w:ascii="Times New Roman" w:hAnsi="Times New Roman" w:cs="Times New Roman"/>
          <w:i/>
          <w:color w:val="000000"/>
          <w:sz w:val="28"/>
          <w:szCs w:val="28"/>
        </w:rPr>
        <w:t>опубликованных</w:t>
      </w:r>
      <w:r w:rsidR="0087174A" w:rsidRPr="00C2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извещений и более </w:t>
      </w:r>
      <w:r w:rsidR="005964B3" w:rsidRPr="00C2212D">
        <w:rPr>
          <w:rFonts w:ascii="Times New Roman" w:hAnsi="Times New Roman" w:cs="Times New Roman"/>
          <w:i/>
          <w:color w:val="000000"/>
          <w:sz w:val="28"/>
          <w:szCs w:val="28"/>
        </w:rPr>
        <w:t>86</w:t>
      </w:r>
      <w:r w:rsidR="0087174A" w:rsidRPr="00C2212D">
        <w:rPr>
          <w:rFonts w:ascii="Times New Roman" w:hAnsi="Times New Roman" w:cs="Times New Roman"/>
          <w:i/>
          <w:color w:val="000000"/>
          <w:sz w:val="28"/>
          <w:szCs w:val="28"/>
        </w:rPr>
        <w:t>% от общей суммы НМЦК  размещённых извещений</w:t>
      </w:r>
      <w:r w:rsidR="0087174A" w:rsidRPr="00C2212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21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64B3" w:rsidRPr="00C2212D" w:rsidRDefault="008F7A58" w:rsidP="004B3B2A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Закупка </w:t>
      </w:r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у единственного поставщика (подрядчика, исполнителя) </w:t>
      </w:r>
      <w:r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в случаях, указанных в части 1 статьи 93 Закона о контрактной системе. </w:t>
      </w:r>
      <w:proofErr w:type="gramStart"/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перечень содержит </w:t>
      </w:r>
      <w:r w:rsidR="00EE788C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54 </w:t>
      </w:r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>различных основани</w:t>
      </w:r>
      <w:r w:rsidR="00EE788C" w:rsidRPr="00C221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, среди которых есть наиболее </w:t>
      </w:r>
      <w:r w:rsidR="001A75DD" w:rsidRPr="00C2212D">
        <w:rPr>
          <w:rFonts w:ascii="Times New Roman" w:hAnsi="Times New Roman" w:cs="Times New Roman"/>
          <w:color w:val="000000"/>
          <w:sz w:val="28"/>
          <w:szCs w:val="28"/>
        </w:rPr>
        <w:t>востребованные</w:t>
      </w:r>
      <w:r w:rsidR="004B3B2A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у заказчиков. </w:t>
      </w:r>
      <w:proofErr w:type="gramEnd"/>
    </w:p>
    <w:p w:rsidR="004B3B2A" w:rsidRPr="00C2212D" w:rsidRDefault="004B3B2A" w:rsidP="004B3B2A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212D">
        <w:rPr>
          <w:rFonts w:ascii="Times New Roman" w:hAnsi="Times New Roman" w:cs="Times New Roman"/>
          <w:color w:val="000000"/>
          <w:sz w:val="28"/>
          <w:szCs w:val="28"/>
        </w:rPr>
        <w:t>В основном н</w:t>
      </w:r>
      <w:r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еконкурентными способами определения поставщик</w:t>
      </w:r>
      <w:r w:rsidR="004C0A44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(закупка у единственного поставщика) заказчиками при осуществлении закупок были проведены закупки товаров, работ или услуг, которые относятся к сфере деятельности субъектов естественных монополий в соответствии с Федеральным законом от 17.08.1995 № 147-ФЗ «О естественных монополиях».</w:t>
      </w:r>
    </w:p>
    <w:p w:rsidR="00A10054" w:rsidRDefault="00F176D1" w:rsidP="00F176D1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Одними из самых крупных государственных заказчиков Свердловской области</w:t>
      </w:r>
      <w:r w:rsidR="00A100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0054" w:rsidRPr="00A10054">
        <w:rPr>
          <w:rFonts w:ascii="Times New Roman" w:hAnsi="Times New Roman" w:cs="Times New Roman"/>
          <w:bCs/>
          <w:color w:val="000000"/>
          <w:sz w:val="28"/>
          <w:szCs w:val="28"/>
        </w:rPr>
        <w:t>по сумме НМЦК опубликованных закупок</w:t>
      </w:r>
      <w:r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</w:t>
      </w:r>
      <w:r w:rsidR="00A10054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тся</w:t>
      </w:r>
      <w:r w:rsidR="00A1005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10054" w:rsidRDefault="00A10054" w:rsidP="00F176D1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 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финансов Свердловской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C7713E">
        <w:rPr>
          <w:rFonts w:ascii="Times New Roman" w:hAnsi="Times New Roman" w:cs="Times New Roman"/>
          <w:bCs/>
          <w:color w:val="000000"/>
          <w:sz w:val="28"/>
          <w:szCs w:val="28"/>
        </w:rPr>
        <w:t>закупки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услуг кредитных организаций);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10054" w:rsidRDefault="00A10054" w:rsidP="00F176D1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 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ГБУ </w:t>
      </w:r>
      <w:proofErr w:type="gramStart"/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«Управление автомобильных дорог»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(закупки в сфере 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строительств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дорог </w:t>
      </w:r>
      <w:r w:rsidR="00C7713E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регионального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10054" w:rsidRDefault="00A10054" w:rsidP="00F176D1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 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ГКУ </w:t>
      </w:r>
      <w:proofErr w:type="gramStart"/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«Управление капитального строительства Свердловской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722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закупки в сфере 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</w:t>
      </w:r>
      <w:r w:rsidR="0072237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зданий, сооружений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176D1" w:rsidRDefault="00A10054" w:rsidP="00F176D1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 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 здравоохранения Свердловской области и само Министерство здравоохранения Свердловской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(закупки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дорогостояще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медицинско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лекарственны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ов)</w:t>
      </w:r>
      <w:r w:rsidR="00F176D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96E1E" w:rsidRPr="00F176D1" w:rsidRDefault="00F96E1E" w:rsidP="00F176D1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76D1" w:rsidRDefault="000C07FE" w:rsidP="000C07FE">
      <w:pPr>
        <w:shd w:val="clear" w:color="auto" w:fill="FFFFFF"/>
        <w:spacing w:line="312" w:lineRule="auto"/>
        <w:ind w:firstLine="539"/>
        <w:jc w:val="right"/>
        <w:rPr>
          <w:rFonts w:ascii="Times New Roman" w:hAnsi="Times New Roman" w:cs="Times New Roman"/>
          <w:bCs/>
          <w:i/>
          <w:color w:val="000000"/>
        </w:rPr>
      </w:pPr>
      <w:r w:rsidRPr="00F176D1">
        <w:rPr>
          <w:rFonts w:ascii="Times New Roman" w:hAnsi="Times New Roman" w:cs="Times New Roman"/>
          <w:bCs/>
          <w:i/>
          <w:color w:val="000000"/>
        </w:rPr>
        <w:t xml:space="preserve">Диаграмма № 2 </w:t>
      </w:r>
    </w:p>
    <w:p w:rsidR="000C07FE" w:rsidRDefault="000C07FE" w:rsidP="000C07FE">
      <w:pPr>
        <w:shd w:val="clear" w:color="auto" w:fill="FFFFFF"/>
        <w:spacing w:line="312" w:lineRule="auto"/>
        <w:ind w:firstLine="539"/>
        <w:jc w:val="right"/>
        <w:rPr>
          <w:rFonts w:ascii="Times New Roman" w:hAnsi="Times New Roman" w:cs="Times New Roman"/>
          <w:bCs/>
          <w:i/>
          <w:color w:val="000000"/>
        </w:rPr>
      </w:pPr>
      <w:r w:rsidRPr="00F176D1">
        <w:rPr>
          <w:rFonts w:ascii="Times New Roman" w:hAnsi="Times New Roman" w:cs="Times New Roman"/>
          <w:bCs/>
          <w:i/>
          <w:color w:val="000000"/>
        </w:rPr>
        <w:t xml:space="preserve">Топ 10 заказчиков по сумме НМЦК </w:t>
      </w:r>
      <w:r w:rsidR="003162AF">
        <w:rPr>
          <w:rFonts w:ascii="Times New Roman" w:hAnsi="Times New Roman" w:cs="Times New Roman"/>
          <w:bCs/>
          <w:i/>
          <w:color w:val="000000"/>
        </w:rPr>
        <w:t>опубликованных закупок</w:t>
      </w:r>
      <w:r w:rsidR="00796874">
        <w:rPr>
          <w:rFonts w:ascii="Times New Roman" w:hAnsi="Times New Roman" w:cs="Times New Roman"/>
          <w:bCs/>
          <w:i/>
          <w:color w:val="000000"/>
        </w:rPr>
        <w:t xml:space="preserve"> в млн. рублей</w:t>
      </w:r>
    </w:p>
    <w:p w:rsidR="00796874" w:rsidRPr="00F176D1" w:rsidRDefault="00D2109C" w:rsidP="00796874">
      <w:pPr>
        <w:shd w:val="clear" w:color="auto" w:fill="FFFFFF"/>
        <w:spacing w:line="312" w:lineRule="auto"/>
        <w:ind w:left="-709" w:firstLine="0"/>
        <w:jc w:val="right"/>
        <w:rPr>
          <w:rFonts w:ascii="Times New Roman" w:hAnsi="Times New Roman" w:cs="Times New Roman"/>
          <w:bCs/>
          <w:i/>
          <w:color w:val="000000"/>
        </w:rPr>
      </w:pPr>
      <w:r>
        <w:rPr>
          <w:noProof/>
        </w:rPr>
        <w:drawing>
          <wp:inline distT="0" distB="0" distL="0" distR="0" wp14:anchorId="64030ACB" wp14:editId="63C1EA6E">
            <wp:extent cx="5935288" cy="4364182"/>
            <wp:effectExtent l="0" t="0" r="889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522851">
        <w:rPr>
          <w:noProof/>
        </w:rPr>
        <w:t xml:space="preserve"> </w:t>
      </w:r>
    </w:p>
    <w:p w:rsidR="00F96E1E" w:rsidRPr="00C2212D" w:rsidRDefault="00722376" w:rsidP="000B1684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>акупка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</w:t>
      </w:r>
      <w:r w:rsidRPr="00A10054">
        <w:rPr>
          <w:rFonts w:ascii="Times New Roman" w:hAnsi="Times New Roman" w:cs="Times New Roman"/>
          <w:bCs/>
          <w:color w:val="000000"/>
          <w:sz w:val="28"/>
          <w:szCs w:val="28"/>
        </w:rPr>
        <w:t>НМЦК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742">
        <w:rPr>
          <w:rFonts w:ascii="Times New Roman" w:hAnsi="Times New Roman" w:cs="Times New Roman"/>
          <w:color w:val="000000"/>
          <w:sz w:val="28"/>
          <w:szCs w:val="28"/>
        </w:rPr>
        <w:t>опубликован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D774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Департаментом </w:t>
      </w:r>
      <w:r w:rsidRPr="00C2212D">
        <w:rPr>
          <w:rFonts w:ascii="Times New Roman" w:hAnsi="Times New Roman" w:cs="Times New Roman"/>
          <w:color w:val="000000"/>
          <w:sz w:val="28"/>
          <w:szCs w:val="28"/>
        </w:rPr>
        <w:t>в первом полугодии 2018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3E8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>проведение совместного аукциона</w:t>
      </w:r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по объекту закупки «Строительство и реконструкция улично-дорожной сети со строительством трамвайной линии в границах городского округа Верхняя Пышма и муниципального образования «город Екатеринбург».</w:t>
      </w:r>
      <w:proofErr w:type="gramEnd"/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и реконструкция улично-дорожной сети со строительством трамвайной линии» с</w:t>
      </w:r>
      <w:r w:rsidR="000B1684" w:rsidRPr="00C2212D">
        <w:t xml:space="preserve"> н</w:t>
      </w:r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>ачальной (максимальной) ценой контракта – 2</w:t>
      </w:r>
      <w:r w:rsidR="008B7A45" w:rsidRPr="00C221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>124</w:t>
      </w:r>
      <w:r w:rsidR="008B7A45" w:rsidRPr="00C221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00 </w:t>
      </w:r>
      <w:r w:rsidR="008B7A45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заказчиками выступили </w:t>
      </w:r>
      <w:r w:rsidR="000B1684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казенное учреждение «Управление капитального строительства города Екатеринбурга» и </w:t>
      </w:r>
      <w:r w:rsidR="0025549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Муниципальное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49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бюджетное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49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491" w:rsidRPr="00C2212D">
        <w:rPr>
          <w:rFonts w:ascii="Times New Roman" w:hAnsi="Times New Roman" w:cs="Times New Roman"/>
          <w:color w:val="000000"/>
          <w:sz w:val="28"/>
          <w:szCs w:val="28"/>
        </w:rPr>
        <w:t>«Управление капитального строительства и стратегического развития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49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Верхняя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491" w:rsidRPr="00C2212D">
        <w:rPr>
          <w:rFonts w:ascii="Times New Roman" w:hAnsi="Times New Roman" w:cs="Times New Roman"/>
          <w:bCs/>
          <w:color w:val="000000"/>
          <w:sz w:val="28"/>
          <w:szCs w:val="28"/>
        </w:rPr>
        <w:t>Пышма</w:t>
      </w:r>
      <w:r w:rsidR="00255491" w:rsidRPr="00C2212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C07FE" w:rsidRDefault="00722376" w:rsidP="000C07FE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количеству опубликованных извещений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сновными 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государственными </w:t>
      </w:r>
      <w:r w:rsidR="000C07F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заказчиками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96E1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7FE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здравоохранения Свердловской области и Министерство здравоохранения Свердловской области. </w:t>
      </w:r>
    </w:p>
    <w:p w:rsidR="00386E60" w:rsidRPr="00C2212D" w:rsidRDefault="00386E60" w:rsidP="000C07FE">
      <w:pPr>
        <w:shd w:val="clear" w:color="auto" w:fill="FFFFFF"/>
        <w:spacing w:line="312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75" w:rsidRPr="00C2212D" w:rsidRDefault="00096075" w:rsidP="00096075">
      <w:pPr>
        <w:spacing w:line="312" w:lineRule="auto"/>
        <w:ind w:firstLine="539"/>
        <w:jc w:val="right"/>
        <w:rPr>
          <w:rFonts w:ascii="Times New Roman" w:hAnsi="Times New Roman" w:cs="Times New Roman"/>
          <w:i/>
        </w:rPr>
      </w:pPr>
      <w:r w:rsidRPr="00C2212D">
        <w:rPr>
          <w:rFonts w:ascii="Times New Roman" w:hAnsi="Times New Roman" w:cs="Times New Roman"/>
          <w:i/>
        </w:rPr>
        <w:t>Диаграмма №</w:t>
      </w:r>
      <w:r w:rsidR="000C07FE" w:rsidRPr="00C2212D">
        <w:rPr>
          <w:rFonts w:ascii="Times New Roman" w:hAnsi="Times New Roman" w:cs="Times New Roman"/>
          <w:i/>
        </w:rPr>
        <w:t xml:space="preserve"> 3</w:t>
      </w:r>
    </w:p>
    <w:p w:rsidR="00FD60C4" w:rsidRPr="00C2212D" w:rsidRDefault="00096075" w:rsidP="005D67A4">
      <w:pPr>
        <w:spacing w:line="312" w:lineRule="auto"/>
        <w:ind w:firstLine="539"/>
        <w:jc w:val="right"/>
        <w:rPr>
          <w:rFonts w:ascii="Times New Roman" w:hAnsi="Times New Roman" w:cs="Times New Roman"/>
          <w:i/>
        </w:rPr>
      </w:pPr>
      <w:r w:rsidRPr="00C2212D">
        <w:rPr>
          <w:rFonts w:ascii="Times New Roman" w:hAnsi="Times New Roman" w:cs="Times New Roman"/>
          <w:i/>
        </w:rPr>
        <w:t xml:space="preserve">Топ 10 заказчиков по количеству извещений за </w:t>
      </w:r>
      <w:r w:rsidR="00BF3908" w:rsidRPr="00C2212D">
        <w:rPr>
          <w:rFonts w:ascii="Times New Roman" w:hAnsi="Times New Roman" w:cs="Times New Roman"/>
          <w:i/>
          <w:lang w:val="en-US"/>
        </w:rPr>
        <w:t>I</w:t>
      </w:r>
      <w:r w:rsidR="00BF3908" w:rsidRPr="00C2212D">
        <w:rPr>
          <w:rFonts w:ascii="Times New Roman" w:hAnsi="Times New Roman" w:cs="Times New Roman"/>
          <w:i/>
        </w:rPr>
        <w:t xml:space="preserve"> полугодие </w:t>
      </w:r>
      <w:r w:rsidRPr="00C2212D">
        <w:rPr>
          <w:rFonts w:ascii="Times New Roman" w:hAnsi="Times New Roman" w:cs="Times New Roman"/>
          <w:i/>
        </w:rPr>
        <w:t>201</w:t>
      </w:r>
      <w:r w:rsidR="00BF3908" w:rsidRPr="00C2212D">
        <w:rPr>
          <w:rFonts w:ascii="Times New Roman" w:hAnsi="Times New Roman" w:cs="Times New Roman"/>
          <w:i/>
        </w:rPr>
        <w:t>8</w:t>
      </w:r>
      <w:r w:rsidRPr="00C2212D">
        <w:rPr>
          <w:rFonts w:ascii="Times New Roman" w:hAnsi="Times New Roman" w:cs="Times New Roman"/>
          <w:i/>
        </w:rPr>
        <w:t xml:space="preserve"> год</w:t>
      </w:r>
      <w:r w:rsidR="00BF3908" w:rsidRPr="00C2212D">
        <w:rPr>
          <w:rFonts w:ascii="Times New Roman" w:hAnsi="Times New Roman" w:cs="Times New Roman"/>
          <w:i/>
        </w:rPr>
        <w:t>а</w:t>
      </w:r>
      <w:r w:rsidR="00C41B9E" w:rsidRPr="00C2212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5E36BDA7" wp14:editId="7516AA8C">
            <wp:extent cx="5993477" cy="4472247"/>
            <wp:effectExtent l="0" t="0" r="762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256F1" w:rsidRPr="00C2212D" w:rsidRDefault="002A3D7F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3386D">
        <w:rPr>
          <w:rFonts w:ascii="Times New Roman" w:hAnsi="Times New Roman" w:cs="Times New Roman"/>
          <w:b/>
          <w:i/>
          <w:sz w:val="28"/>
          <w:szCs w:val="28"/>
        </w:rPr>
        <w:t>Раздел 4.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56F1" w:rsidRPr="00C2212D">
        <w:rPr>
          <w:rFonts w:ascii="Times New Roman" w:hAnsi="Times New Roman" w:cs="Times New Roman"/>
          <w:b/>
          <w:i/>
          <w:sz w:val="28"/>
          <w:szCs w:val="28"/>
        </w:rPr>
        <w:t>Анализ несостоявшихся процедур определения поставщика</w:t>
      </w:r>
      <w:r w:rsidR="005256F1" w:rsidRPr="00C22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920" w:rsidRPr="00C2212D" w:rsidRDefault="00B23920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073E10" w:rsidRPr="00C2212D" w:rsidRDefault="00073E10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По</w:t>
      </w:r>
      <w:r w:rsidR="009F5BE0" w:rsidRPr="00C2212D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810245" w:rsidRPr="00C2212D">
        <w:rPr>
          <w:rFonts w:ascii="Times New Roman" w:hAnsi="Times New Roman" w:cs="Times New Roman"/>
          <w:sz w:val="28"/>
          <w:szCs w:val="28"/>
        </w:rPr>
        <w:t>ЕИС</w:t>
      </w:r>
      <w:r w:rsidR="0013097B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FA1026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D7723" w:rsidRPr="00C2212D">
        <w:rPr>
          <w:rFonts w:ascii="Times New Roman" w:hAnsi="Times New Roman" w:cs="Times New Roman"/>
          <w:sz w:val="28"/>
          <w:szCs w:val="28"/>
        </w:rPr>
        <w:t>по</w:t>
      </w:r>
      <w:r w:rsidRPr="00C2212D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3C4078" w:rsidRPr="00C2212D">
        <w:rPr>
          <w:rFonts w:ascii="Times New Roman" w:hAnsi="Times New Roman" w:cs="Times New Roman"/>
          <w:sz w:val="28"/>
          <w:szCs w:val="28"/>
        </w:rPr>
        <w:t>первого полугодия 2018</w:t>
      </w:r>
      <w:r w:rsidRPr="00C2212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C4078" w:rsidRPr="00C2212D" w:rsidRDefault="00395FA1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1B348C" w:rsidRPr="00C2212D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3C4078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10 822 </w:t>
      </w:r>
      <w:r w:rsidR="00073E10" w:rsidRPr="00C2212D">
        <w:rPr>
          <w:rFonts w:ascii="Times New Roman" w:hAnsi="Times New Roman" w:cs="Times New Roman"/>
          <w:sz w:val="28"/>
          <w:szCs w:val="28"/>
        </w:rPr>
        <w:t>процедур</w:t>
      </w:r>
      <w:r w:rsidR="00F3386D">
        <w:rPr>
          <w:rFonts w:ascii="Times New Roman" w:hAnsi="Times New Roman" w:cs="Times New Roman"/>
          <w:sz w:val="28"/>
          <w:szCs w:val="28"/>
        </w:rPr>
        <w:t>ы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определения поставщика (подрядчика, исполнителя) с суммарным значением </w:t>
      </w:r>
      <w:r w:rsidR="005B65A1" w:rsidRPr="00C2212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F3386D">
        <w:rPr>
          <w:rFonts w:ascii="Times New Roman" w:hAnsi="Times New Roman" w:cs="Times New Roman"/>
          <w:sz w:val="28"/>
          <w:szCs w:val="28"/>
        </w:rPr>
        <w:t>(</w:t>
      </w:r>
      <w:r w:rsidR="005B65A1" w:rsidRPr="00C2212D">
        <w:rPr>
          <w:rFonts w:ascii="Times New Roman" w:hAnsi="Times New Roman" w:cs="Times New Roman"/>
          <w:sz w:val="28"/>
          <w:szCs w:val="28"/>
        </w:rPr>
        <w:t>максимальной</w:t>
      </w:r>
      <w:r w:rsidR="00F3386D">
        <w:rPr>
          <w:rFonts w:ascii="Times New Roman" w:hAnsi="Times New Roman" w:cs="Times New Roman"/>
          <w:sz w:val="28"/>
          <w:szCs w:val="28"/>
        </w:rPr>
        <w:t>)</w:t>
      </w:r>
      <w:r w:rsidR="005B65A1" w:rsidRPr="00C2212D">
        <w:rPr>
          <w:rFonts w:ascii="Times New Roman" w:hAnsi="Times New Roman" w:cs="Times New Roman"/>
          <w:sz w:val="28"/>
          <w:szCs w:val="28"/>
        </w:rPr>
        <w:t xml:space="preserve"> цены контракта 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C4078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14 290,35 </w:t>
      </w:r>
      <w:r w:rsidR="009148C5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592F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3C4078" w:rsidRPr="00C2212D"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 w:rsidR="003C4078" w:rsidRPr="00C221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3E10" w:rsidRPr="00C2212D" w:rsidRDefault="003C4078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>2594</w:t>
      </w:r>
      <w:r w:rsidRPr="00C2212D">
        <w:rPr>
          <w:rFonts w:ascii="Times New Roman" w:hAnsi="Times New Roman" w:cs="Times New Roman"/>
          <w:sz w:val="28"/>
          <w:szCs w:val="28"/>
        </w:rPr>
        <w:t xml:space="preserve">  закупки у единственного поставщика с начальной </w:t>
      </w:r>
      <w:r w:rsidR="00F3386D">
        <w:rPr>
          <w:rFonts w:ascii="Times New Roman" w:hAnsi="Times New Roman" w:cs="Times New Roman"/>
          <w:sz w:val="28"/>
          <w:szCs w:val="28"/>
        </w:rPr>
        <w:t>(</w:t>
      </w:r>
      <w:r w:rsidRPr="00C2212D">
        <w:rPr>
          <w:rFonts w:ascii="Times New Roman" w:hAnsi="Times New Roman" w:cs="Times New Roman"/>
          <w:sz w:val="28"/>
          <w:szCs w:val="28"/>
        </w:rPr>
        <w:t>максимальной</w:t>
      </w:r>
      <w:r w:rsidR="00F3386D">
        <w:rPr>
          <w:rFonts w:ascii="Times New Roman" w:hAnsi="Times New Roman" w:cs="Times New Roman"/>
          <w:sz w:val="28"/>
          <w:szCs w:val="28"/>
        </w:rPr>
        <w:t>)</w:t>
      </w:r>
      <w:r w:rsidRPr="00C2212D">
        <w:rPr>
          <w:rFonts w:ascii="Times New Roman" w:hAnsi="Times New Roman" w:cs="Times New Roman"/>
          <w:sz w:val="28"/>
          <w:szCs w:val="28"/>
        </w:rPr>
        <w:t xml:space="preserve"> ценой контракта 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2353,4 </w:t>
      </w:r>
      <w:r w:rsidRPr="00C2212D">
        <w:rPr>
          <w:rFonts w:ascii="Times New Roman" w:hAnsi="Times New Roman" w:cs="Times New Roman"/>
          <w:sz w:val="28"/>
          <w:szCs w:val="28"/>
        </w:rPr>
        <w:t xml:space="preserve">млн. рублей, </w:t>
      </w:r>
    </w:p>
    <w:p w:rsidR="003C4078" w:rsidRPr="00C2212D" w:rsidRDefault="003C4078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>8228</w:t>
      </w:r>
      <w:r w:rsidRPr="00C2212D">
        <w:rPr>
          <w:rFonts w:ascii="Times New Roman" w:hAnsi="Times New Roman" w:cs="Times New Roman"/>
          <w:sz w:val="28"/>
          <w:szCs w:val="28"/>
        </w:rPr>
        <w:t xml:space="preserve"> конкурентных процедур с начальной </w:t>
      </w:r>
      <w:r w:rsidR="00F3386D">
        <w:rPr>
          <w:rFonts w:ascii="Times New Roman" w:hAnsi="Times New Roman" w:cs="Times New Roman"/>
          <w:sz w:val="28"/>
          <w:szCs w:val="28"/>
        </w:rPr>
        <w:t>(</w:t>
      </w:r>
      <w:r w:rsidRPr="00C2212D">
        <w:rPr>
          <w:rFonts w:ascii="Times New Roman" w:hAnsi="Times New Roman" w:cs="Times New Roman"/>
          <w:sz w:val="28"/>
          <w:szCs w:val="28"/>
        </w:rPr>
        <w:t>максимальной</w:t>
      </w:r>
      <w:r w:rsidR="00F3386D">
        <w:rPr>
          <w:rFonts w:ascii="Times New Roman" w:hAnsi="Times New Roman" w:cs="Times New Roman"/>
          <w:sz w:val="28"/>
          <w:szCs w:val="28"/>
        </w:rPr>
        <w:t>)</w:t>
      </w:r>
      <w:r w:rsidRPr="00C2212D">
        <w:rPr>
          <w:rFonts w:ascii="Times New Roman" w:hAnsi="Times New Roman" w:cs="Times New Roman"/>
          <w:sz w:val="28"/>
          <w:szCs w:val="28"/>
        </w:rPr>
        <w:t xml:space="preserve"> ценой контракта 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>11 936,95</w:t>
      </w:r>
      <w:r w:rsidRPr="00C2212D">
        <w:rPr>
          <w:rFonts w:ascii="Times New Roman" w:hAnsi="Times New Roman" w:cs="Times New Roman"/>
          <w:sz w:val="28"/>
          <w:szCs w:val="28"/>
        </w:rPr>
        <w:t xml:space="preserve">  млн. рублей.</w:t>
      </w:r>
    </w:p>
    <w:p w:rsidR="00073E10" w:rsidRPr="00C2212D" w:rsidRDefault="00395FA1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073E10" w:rsidRPr="00C2212D">
        <w:rPr>
          <w:rFonts w:ascii="Times New Roman" w:hAnsi="Times New Roman" w:cs="Times New Roman"/>
          <w:sz w:val="28"/>
          <w:szCs w:val="28"/>
        </w:rPr>
        <w:t>не состоялось</w:t>
      </w:r>
      <w:r w:rsidR="000812B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C4078" w:rsidRPr="00C2212D">
        <w:rPr>
          <w:rFonts w:ascii="Times New Roman" w:hAnsi="Times New Roman" w:cs="Times New Roman"/>
          <w:b/>
          <w:i/>
          <w:sz w:val="28"/>
          <w:szCs w:val="28"/>
        </w:rPr>
        <w:t>8 986</w:t>
      </w:r>
      <w:r w:rsidR="003A592F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64AF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3E10" w:rsidRPr="00C2212D">
        <w:rPr>
          <w:rFonts w:ascii="Times New Roman" w:hAnsi="Times New Roman" w:cs="Times New Roman"/>
          <w:sz w:val="28"/>
          <w:szCs w:val="28"/>
        </w:rPr>
        <w:t>процедур определения поставщика (подрядчика, исполнителя)</w:t>
      </w:r>
      <w:r w:rsidR="00E92D3C"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="00E92D3C" w:rsidRPr="00C2212D">
        <w:rPr>
          <w:rFonts w:ascii="Times New Roman" w:hAnsi="Times New Roman" w:cs="Times New Roman"/>
          <w:i/>
          <w:sz w:val="28"/>
          <w:szCs w:val="28"/>
        </w:rPr>
        <w:t>45% от общего количества проведенных</w:t>
      </w:r>
      <w:r w:rsidR="003C4078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D3C" w:rsidRPr="00C2212D">
        <w:rPr>
          <w:rFonts w:ascii="Times New Roman" w:hAnsi="Times New Roman" w:cs="Times New Roman"/>
          <w:i/>
          <w:sz w:val="28"/>
          <w:szCs w:val="28"/>
        </w:rPr>
        <w:t>процедур</w:t>
      </w:r>
      <w:r w:rsidR="00E92D3C" w:rsidRPr="00C2212D">
        <w:rPr>
          <w:rFonts w:ascii="Times New Roman" w:hAnsi="Times New Roman" w:cs="Times New Roman"/>
          <w:sz w:val="28"/>
          <w:szCs w:val="28"/>
        </w:rPr>
        <w:t xml:space="preserve">) 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с суммарным значением </w:t>
      </w:r>
      <w:r w:rsidR="005B65A1" w:rsidRPr="00C2212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F3386D">
        <w:rPr>
          <w:rFonts w:ascii="Times New Roman" w:hAnsi="Times New Roman" w:cs="Times New Roman"/>
          <w:sz w:val="28"/>
          <w:szCs w:val="28"/>
        </w:rPr>
        <w:t>(</w:t>
      </w:r>
      <w:r w:rsidR="005B65A1" w:rsidRPr="00C2212D">
        <w:rPr>
          <w:rFonts w:ascii="Times New Roman" w:hAnsi="Times New Roman" w:cs="Times New Roman"/>
          <w:sz w:val="28"/>
          <w:szCs w:val="28"/>
        </w:rPr>
        <w:t>максимальной</w:t>
      </w:r>
      <w:r w:rsidR="00F3386D">
        <w:rPr>
          <w:rFonts w:ascii="Times New Roman" w:hAnsi="Times New Roman" w:cs="Times New Roman"/>
          <w:sz w:val="28"/>
          <w:szCs w:val="28"/>
        </w:rPr>
        <w:t>)</w:t>
      </w:r>
      <w:r w:rsidR="005B65A1" w:rsidRPr="00C2212D">
        <w:rPr>
          <w:rFonts w:ascii="Times New Roman" w:hAnsi="Times New Roman" w:cs="Times New Roman"/>
          <w:sz w:val="28"/>
          <w:szCs w:val="28"/>
        </w:rPr>
        <w:t xml:space="preserve"> цены контракта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C4078" w:rsidRPr="00C2212D">
        <w:rPr>
          <w:rFonts w:ascii="Times New Roman" w:hAnsi="Times New Roman" w:cs="Times New Roman"/>
          <w:b/>
          <w:i/>
          <w:sz w:val="28"/>
          <w:szCs w:val="28"/>
        </w:rPr>
        <w:t>8 533,1</w:t>
      </w:r>
      <w:r w:rsidR="00E32E57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E92D3C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C4078" w:rsidRPr="00C2212D">
        <w:rPr>
          <w:rFonts w:ascii="Times New Roman" w:hAnsi="Times New Roman" w:cs="Times New Roman"/>
          <w:i/>
          <w:sz w:val="28"/>
          <w:szCs w:val="28"/>
        </w:rPr>
        <w:t>(37</w:t>
      </w:r>
      <w:r w:rsidR="00E92D3C" w:rsidRPr="00C2212D">
        <w:rPr>
          <w:rFonts w:ascii="Times New Roman" w:hAnsi="Times New Roman" w:cs="Times New Roman"/>
          <w:i/>
          <w:sz w:val="28"/>
          <w:szCs w:val="28"/>
        </w:rPr>
        <w:t>% от общего объема проведенных процедур)</w:t>
      </w:r>
      <w:r w:rsidR="00073E10" w:rsidRPr="00C2212D">
        <w:rPr>
          <w:rFonts w:ascii="Times New Roman" w:hAnsi="Times New Roman" w:cs="Times New Roman"/>
          <w:sz w:val="28"/>
          <w:szCs w:val="28"/>
        </w:rPr>
        <w:t>, из них:</w:t>
      </w:r>
    </w:p>
    <w:p w:rsidR="00073E10" w:rsidRPr="00C2212D" w:rsidRDefault="000725BE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3C4078" w:rsidRPr="00C2212D">
        <w:rPr>
          <w:rFonts w:ascii="Times New Roman" w:hAnsi="Times New Roman" w:cs="Times New Roman"/>
          <w:b/>
          <w:i/>
          <w:sz w:val="28"/>
          <w:szCs w:val="28"/>
        </w:rPr>
        <w:t>7301</w:t>
      </w:r>
      <w:r w:rsidR="003A592F" w:rsidRPr="00C2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10" w:rsidRPr="00C2212D">
        <w:rPr>
          <w:rFonts w:ascii="Times New Roman" w:hAnsi="Times New Roman" w:cs="Times New Roman"/>
          <w:sz w:val="28"/>
          <w:szCs w:val="28"/>
        </w:rPr>
        <w:t>процедур</w:t>
      </w:r>
      <w:r w:rsidR="00F3386D">
        <w:rPr>
          <w:rFonts w:ascii="Times New Roman" w:hAnsi="Times New Roman" w:cs="Times New Roman"/>
          <w:sz w:val="28"/>
          <w:szCs w:val="28"/>
        </w:rPr>
        <w:t xml:space="preserve">а </w:t>
      </w:r>
      <w:r w:rsidR="00F3386D" w:rsidRPr="00C2212D">
        <w:rPr>
          <w:rFonts w:ascii="Times New Roman" w:hAnsi="Times New Roman" w:cs="Times New Roman"/>
          <w:sz w:val="28"/>
          <w:szCs w:val="28"/>
        </w:rPr>
        <w:t>(</w:t>
      </w:r>
      <w:r w:rsidR="00F3386D">
        <w:rPr>
          <w:rFonts w:ascii="Times New Roman" w:hAnsi="Times New Roman" w:cs="Times New Roman"/>
          <w:i/>
          <w:sz w:val="28"/>
          <w:szCs w:val="28"/>
        </w:rPr>
        <w:t>37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проведенных процедур</w:t>
      </w:r>
      <w:r w:rsidR="00F3386D" w:rsidRPr="00C2212D">
        <w:rPr>
          <w:rFonts w:ascii="Times New Roman" w:hAnsi="Times New Roman" w:cs="Times New Roman"/>
          <w:sz w:val="28"/>
          <w:szCs w:val="28"/>
        </w:rPr>
        <w:t>)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с суммарным значением </w:t>
      </w:r>
      <w:r w:rsidR="005B65A1" w:rsidRPr="00C2212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F3386D">
        <w:rPr>
          <w:rFonts w:ascii="Times New Roman" w:hAnsi="Times New Roman" w:cs="Times New Roman"/>
          <w:sz w:val="28"/>
          <w:szCs w:val="28"/>
        </w:rPr>
        <w:t>(</w:t>
      </w:r>
      <w:r w:rsidR="00F3386D" w:rsidRPr="00C2212D">
        <w:rPr>
          <w:rFonts w:ascii="Times New Roman" w:hAnsi="Times New Roman" w:cs="Times New Roman"/>
          <w:sz w:val="28"/>
          <w:szCs w:val="28"/>
        </w:rPr>
        <w:t>максимальной</w:t>
      </w:r>
      <w:r w:rsidR="00F3386D">
        <w:rPr>
          <w:rFonts w:ascii="Times New Roman" w:hAnsi="Times New Roman" w:cs="Times New Roman"/>
          <w:sz w:val="28"/>
          <w:szCs w:val="28"/>
        </w:rPr>
        <w:t xml:space="preserve">) </w:t>
      </w:r>
      <w:r w:rsidR="005B65A1" w:rsidRPr="00C2212D">
        <w:rPr>
          <w:rFonts w:ascii="Times New Roman" w:hAnsi="Times New Roman" w:cs="Times New Roman"/>
          <w:sz w:val="28"/>
          <w:szCs w:val="28"/>
        </w:rPr>
        <w:t>цены контракта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C4078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7 753,2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F3386D">
        <w:rPr>
          <w:rFonts w:ascii="Times New Roman" w:hAnsi="Times New Roman" w:cs="Times New Roman"/>
          <w:sz w:val="28"/>
          <w:szCs w:val="28"/>
        </w:rPr>
        <w:t xml:space="preserve"> 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(</w:t>
      </w:r>
      <w:r w:rsidR="00F3386D" w:rsidRPr="00F3386D">
        <w:rPr>
          <w:rFonts w:ascii="Times New Roman" w:hAnsi="Times New Roman" w:cs="Times New Roman"/>
          <w:i/>
          <w:sz w:val="28"/>
          <w:szCs w:val="28"/>
        </w:rPr>
        <w:t>3</w:t>
      </w:r>
      <w:r w:rsidR="00F3386D">
        <w:rPr>
          <w:rFonts w:ascii="Times New Roman" w:hAnsi="Times New Roman" w:cs="Times New Roman"/>
          <w:i/>
          <w:sz w:val="28"/>
          <w:szCs w:val="28"/>
        </w:rPr>
        <w:t>4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% от общего объема проведенных процедур)</w:t>
      </w:r>
      <w:r w:rsidR="00140D4B" w:rsidRPr="00C2212D">
        <w:rPr>
          <w:rFonts w:ascii="Times New Roman" w:hAnsi="Times New Roman" w:cs="Times New Roman"/>
          <w:sz w:val="28"/>
          <w:szCs w:val="28"/>
        </w:rPr>
        <w:t>,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113D1E" w:rsidRPr="00C2212D">
        <w:rPr>
          <w:rFonts w:ascii="Times New Roman" w:hAnsi="Times New Roman" w:cs="Times New Roman"/>
          <w:sz w:val="28"/>
          <w:szCs w:val="28"/>
        </w:rPr>
        <w:t xml:space="preserve">привели </w:t>
      </w:r>
      <w:r w:rsidR="00073E10" w:rsidRPr="00C2212D">
        <w:rPr>
          <w:rFonts w:ascii="Times New Roman" w:hAnsi="Times New Roman" w:cs="Times New Roman"/>
          <w:sz w:val="28"/>
          <w:szCs w:val="28"/>
        </w:rPr>
        <w:t>к заключению контракта;</w:t>
      </w:r>
    </w:p>
    <w:p w:rsidR="00073E10" w:rsidRPr="00C2212D" w:rsidRDefault="000725BE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3C4078" w:rsidRPr="00C2212D">
        <w:rPr>
          <w:rFonts w:ascii="Times New Roman" w:hAnsi="Times New Roman" w:cs="Times New Roman"/>
          <w:b/>
          <w:i/>
          <w:sz w:val="28"/>
          <w:szCs w:val="28"/>
        </w:rPr>
        <w:t>1685</w:t>
      </w:r>
      <w:r w:rsidR="00BF4E24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073E10" w:rsidRPr="00C2212D">
        <w:rPr>
          <w:rFonts w:ascii="Times New Roman" w:hAnsi="Times New Roman" w:cs="Times New Roman"/>
          <w:sz w:val="28"/>
          <w:szCs w:val="28"/>
        </w:rPr>
        <w:t>процедур</w:t>
      </w:r>
      <w:r w:rsidR="00F3386D">
        <w:rPr>
          <w:rFonts w:ascii="Times New Roman" w:hAnsi="Times New Roman" w:cs="Times New Roman"/>
          <w:sz w:val="28"/>
          <w:szCs w:val="28"/>
        </w:rPr>
        <w:t xml:space="preserve"> </w:t>
      </w:r>
      <w:r w:rsidR="00F3386D" w:rsidRPr="00C2212D">
        <w:rPr>
          <w:rFonts w:ascii="Times New Roman" w:hAnsi="Times New Roman" w:cs="Times New Roman"/>
          <w:sz w:val="28"/>
          <w:szCs w:val="28"/>
        </w:rPr>
        <w:t>(</w:t>
      </w:r>
      <w:r w:rsidR="00F3386D">
        <w:rPr>
          <w:rFonts w:ascii="Times New Roman" w:hAnsi="Times New Roman" w:cs="Times New Roman"/>
          <w:i/>
          <w:sz w:val="28"/>
          <w:szCs w:val="28"/>
        </w:rPr>
        <w:t>8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проведенных процедур</w:t>
      </w:r>
      <w:r w:rsidR="00F3386D" w:rsidRPr="00C2212D">
        <w:rPr>
          <w:rFonts w:ascii="Times New Roman" w:hAnsi="Times New Roman" w:cs="Times New Roman"/>
          <w:sz w:val="28"/>
          <w:szCs w:val="28"/>
        </w:rPr>
        <w:t>)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с суммарным значением </w:t>
      </w:r>
      <w:r w:rsidR="005B65A1" w:rsidRPr="00C2212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F3386D">
        <w:rPr>
          <w:rFonts w:ascii="Times New Roman" w:hAnsi="Times New Roman" w:cs="Times New Roman"/>
          <w:sz w:val="28"/>
          <w:szCs w:val="28"/>
        </w:rPr>
        <w:t>(</w:t>
      </w:r>
      <w:r w:rsidR="00F3386D" w:rsidRPr="00C2212D">
        <w:rPr>
          <w:rFonts w:ascii="Times New Roman" w:hAnsi="Times New Roman" w:cs="Times New Roman"/>
          <w:sz w:val="28"/>
          <w:szCs w:val="28"/>
        </w:rPr>
        <w:t>максимальной</w:t>
      </w:r>
      <w:r w:rsidR="00F3386D">
        <w:rPr>
          <w:rFonts w:ascii="Times New Roman" w:hAnsi="Times New Roman" w:cs="Times New Roman"/>
          <w:sz w:val="28"/>
          <w:szCs w:val="28"/>
        </w:rPr>
        <w:t xml:space="preserve">) </w:t>
      </w:r>
      <w:r w:rsidR="005B65A1" w:rsidRPr="00C2212D">
        <w:rPr>
          <w:rFonts w:ascii="Times New Roman" w:hAnsi="Times New Roman" w:cs="Times New Roman"/>
          <w:sz w:val="28"/>
          <w:szCs w:val="28"/>
        </w:rPr>
        <w:t>цены контракта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C4078" w:rsidRPr="00C2212D">
        <w:rPr>
          <w:rFonts w:ascii="Times New Roman" w:hAnsi="Times New Roman" w:cs="Times New Roman"/>
          <w:b/>
          <w:i/>
          <w:sz w:val="28"/>
          <w:szCs w:val="28"/>
        </w:rPr>
        <w:t>779,</w:t>
      </w:r>
      <w:r w:rsidR="00044416" w:rsidRPr="00C2212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C4078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F3386D">
        <w:rPr>
          <w:rFonts w:ascii="Times New Roman" w:hAnsi="Times New Roman" w:cs="Times New Roman"/>
          <w:sz w:val="28"/>
          <w:szCs w:val="28"/>
        </w:rPr>
        <w:t xml:space="preserve"> 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(</w:t>
      </w:r>
      <w:r w:rsidR="00F3386D">
        <w:rPr>
          <w:rFonts w:ascii="Times New Roman" w:hAnsi="Times New Roman" w:cs="Times New Roman"/>
          <w:i/>
          <w:sz w:val="28"/>
          <w:szCs w:val="28"/>
        </w:rPr>
        <w:t>3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% от общего объема проведенных процедур)</w:t>
      </w:r>
      <w:r w:rsidR="00140D4B" w:rsidRPr="00C2212D">
        <w:rPr>
          <w:rFonts w:ascii="Times New Roman" w:hAnsi="Times New Roman" w:cs="Times New Roman"/>
          <w:sz w:val="28"/>
          <w:szCs w:val="28"/>
        </w:rPr>
        <w:t>,</w:t>
      </w:r>
      <w:r w:rsidR="00073E10" w:rsidRPr="00C2212D">
        <w:rPr>
          <w:rFonts w:ascii="Times New Roman" w:hAnsi="Times New Roman" w:cs="Times New Roman"/>
          <w:sz w:val="28"/>
          <w:szCs w:val="28"/>
        </w:rPr>
        <w:t xml:space="preserve"> которые не привели к заключению контракта</w:t>
      </w:r>
      <w:r w:rsidR="00F3386D" w:rsidRPr="00C2212D">
        <w:rPr>
          <w:rFonts w:ascii="Times New Roman" w:hAnsi="Times New Roman" w:cs="Times New Roman"/>
          <w:i/>
          <w:sz w:val="28"/>
          <w:szCs w:val="28"/>
        </w:rPr>
        <w:t>)</w:t>
      </w:r>
      <w:r w:rsidR="00F3386D" w:rsidRPr="00C2212D">
        <w:rPr>
          <w:rFonts w:ascii="Times New Roman" w:hAnsi="Times New Roman" w:cs="Times New Roman"/>
          <w:sz w:val="28"/>
          <w:szCs w:val="28"/>
        </w:rPr>
        <w:t>, из них</w:t>
      </w:r>
      <w:r w:rsidR="00F3386D">
        <w:rPr>
          <w:rFonts w:ascii="Times New Roman" w:hAnsi="Times New Roman" w:cs="Times New Roman"/>
          <w:sz w:val="28"/>
          <w:szCs w:val="28"/>
        </w:rPr>
        <w:t xml:space="preserve"> </w:t>
      </w:r>
      <w:r w:rsidR="00F3386D" w:rsidRPr="00C2212D">
        <w:rPr>
          <w:rFonts w:ascii="Times New Roman" w:hAnsi="Times New Roman" w:cs="Times New Roman"/>
          <w:sz w:val="28"/>
          <w:szCs w:val="28"/>
        </w:rPr>
        <w:t>по способам определения поставщика:</w:t>
      </w:r>
      <w:proofErr w:type="gramEnd"/>
    </w:p>
    <w:p w:rsidR="005222BC" w:rsidRPr="00C2212D" w:rsidRDefault="000725BE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5222BC" w:rsidRPr="00C2212D">
        <w:rPr>
          <w:rFonts w:ascii="Times New Roman" w:hAnsi="Times New Roman" w:cs="Times New Roman"/>
          <w:sz w:val="28"/>
          <w:szCs w:val="28"/>
        </w:rPr>
        <w:t xml:space="preserve">открытые конкурсы </w:t>
      </w:r>
      <w:r w:rsidR="00B93F67"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044416" w:rsidRPr="00C2212D">
        <w:rPr>
          <w:rFonts w:ascii="Times New Roman" w:hAnsi="Times New Roman" w:cs="Times New Roman"/>
          <w:sz w:val="28"/>
          <w:szCs w:val="28"/>
        </w:rPr>
        <w:t>8</w:t>
      </w:r>
      <w:r w:rsidR="00E32E57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C4794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5222BC" w:rsidRPr="00C2212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44416" w:rsidRPr="00C2212D">
        <w:rPr>
          <w:rFonts w:ascii="Times New Roman" w:hAnsi="Times New Roman" w:cs="Times New Roman"/>
          <w:sz w:val="28"/>
          <w:szCs w:val="28"/>
        </w:rPr>
        <w:t>14,2</w:t>
      </w:r>
      <w:r w:rsidR="009C333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8B0D9B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5222BC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5222BC" w:rsidRPr="00C2212D">
        <w:rPr>
          <w:rFonts w:ascii="Times New Roman" w:hAnsi="Times New Roman" w:cs="Times New Roman"/>
          <w:sz w:val="28"/>
          <w:szCs w:val="28"/>
        </w:rPr>
        <w:t>;</w:t>
      </w:r>
    </w:p>
    <w:p w:rsidR="005222BC" w:rsidRPr="00C2212D" w:rsidRDefault="000725BE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5222BC" w:rsidRPr="00C2212D">
        <w:rPr>
          <w:rFonts w:ascii="Times New Roman" w:hAnsi="Times New Roman" w:cs="Times New Roman"/>
          <w:sz w:val="28"/>
          <w:szCs w:val="28"/>
        </w:rPr>
        <w:t>открытые конкурсы с ограниченным участием</w:t>
      </w:r>
      <w:r w:rsidR="00B93F67" w:rsidRPr="00C2212D">
        <w:rPr>
          <w:rFonts w:ascii="Times New Roman" w:hAnsi="Times New Roman" w:cs="Times New Roman"/>
          <w:sz w:val="28"/>
          <w:szCs w:val="28"/>
        </w:rPr>
        <w:t xml:space="preserve"> - </w:t>
      </w:r>
      <w:r w:rsidR="00044416" w:rsidRPr="00C2212D">
        <w:rPr>
          <w:rFonts w:ascii="Times New Roman" w:hAnsi="Times New Roman" w:cs="Times New Roman"/>
          <w:sz w:val="28"/>
          <w:szCs w:val="28"/>
        </w:rPr>
        <w:t>1</w:t>
      </w:r>
      <w:r w:rsidR="003F76E2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BF4E24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5222BC" w:rsidRPr="00C2212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44416" w:rsidRPr="00C2212D">
        <w:rPr>
          <w:rFonts w:ascii="Times New Roman" w:hAnsi="Times New Roman" w:cs="Times New Roman"/>
          <w:sz w:val="28"/>
          <w:szCs w:val="28"/>
        </w:rPr>
        <w:t>1,8</w:t>
      </w:r>
      <w:r w:rsidR="00C4794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5222BC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5222BC" w:rsidRPr="00C2212D">
        <w:rPr>
          <w:rFonts w:ascii="Times New Roman" w:hAnsi="Times New Roman" w:cs="Times New Roman"/>
          <w:sz w:val="28"/>
          <w:szCs w:val="28"/>
        </w:rPr>
        <w:t>;</w:t>
      </w:r>
    </w:p>
    <w:p w:rsidR="005222BC" w:rsidRPr="00C2212D" w:rsidRDefault="000725BE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5222BC" w:rsidRPr="00C2212D">
        <w:rPr>
          <w:rFonts w:ascii="Times New Roman" w:hAnsi="Times New Roman" w:cs="Times New Roman"/>
          <w:sz w:val="28"/>
          <w:szCs w:val="28"/>
        </w:rPr>
        <w:t>электронные аукционы</w:t>
      </w:r>
      <w:r w:rsidR="00B93F67" w:rsidRPr="00C2212D">
        <w:rPr>
          <w:rFonts w:ascii="Times New Roman" w:hAnsi="Times New Roman" w:cs="Times New Roman"/>
          <w:sz w:val="28"/>
          <w:szCs w:val="28"/>
        </w:rPr>
        <w:t xml:space="preserve"> -</w:t>
      </w:r>
      <w:r w:rsidR="00BF4E24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044416" w:rsidRPr="00C2212D">
        <w:rPr>
          <w:rFonts w:ascii="Times New Roman" w:hAnsi="Times New Roman" w:cs="Times New Roman"/>
          <w:sz w:val="28"/>
          <w:szCs w:val="28"/>
        </w:rPr>
        <w:t>1409</w:t>
      </w:r>
      <w:r w:rsidR="00C4794D" w:rsidRPr="00C2212D">
        <w:rPr>
          <w:rFonts w:ascii="Times New Roman" w:hAnsi="Times New Roman" w:cs="Times New Roman"/>
          <w:sz w:val="28"/>
          <w:szCs w:val="28"/>
        </w:rPr>
        <w:t xml:space="preserve">  </w:t>
      </w:r>
      <w:r w:rsidR="00BF4E24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5222BC" w:rsidRPr="00C2212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44416" w:rsidRPr="00C2212D">
        <w:rPr>
          <w:rFonts w:ascii="Times New Roman" w:hAnsi="Times New Roman" w:cs="Times New Roman"/>
          <w:sz w:val="28"/>
          <w:szCs w:val="28"/>
        </w:rPr>
        <w:t>741,5</w:t>
      </w:r>
      <w:r w:rsidR="00C4794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5222BC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5222BC" w:rsidRPr="00C2212D">
        <w:rPr>
          <w:rFonts w:ascii="Times New Roman" w:hAnsi="Times New Roman" w:cs="Times New Roman"/>
          <w:sz w:val="28"/>
          <w:szCs w:val="28"/>
        </w:rPr>
        <w:t>;</w:t>
      </w:r>
    </w:p>
    <w:p w:rsidR="00AB2162" w:rsidRPr="00C2212D" w:rsidRDefault="000725BE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AB2162" w:rsidRPr="00C2212D">
        <w:rPr>
          <w:rFonts w:ascii="Times New Roman" w:hAnsi="Times New Roman" w:cs="Times New Roman"/>
          <w:sz w:val="28"/>
          <w:szCs w:val="28"/>
        </w:rPr>
        <w:t>запросы котировок</w:t>
      </w:r>
      <w:r w:rsidR="00B93F67" w:rsidRPr="00C2212D">
        <w:rPr>
          <w:rFonts w:ascii="Times New Roman" w:hAnsi="Times New Roman" w:cs="Times New Roman"/>
          <w:sz w:val="28"/>
          <w:szCs w:val="28"/>
        </w:rPr>
        <w:t xml:space="preserve"> -</w:t>
      </w:r>
      <w:r w:rsidR="00BF4E24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044416" w:rsidRPr="00C2212D">
        <w:rPr>
          <w:rFonts w:ascii="Times New Roman" w:hAnsi="Times New Roman" w:cs="Times New Roman"/>
          <w:sz w:val="28"/>
          <w:szCs w:val="28"/>
        </w:rPr>
        <w:t>263</w:t>
      </w:r>
      <w:r w:rsidR="00AB2162" w:rsidRPr="00C2212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44416" w:rsidRPr="00C2212D">
        <w:rPr>
          <w:rFonts w:ascii="Times New Roman" w:hAnsi="Times New Roman" w:cs="Times New Roman"/>
          <w:sz w:val="28"/>
          <w:szCs w:val="28"/>
        </w:rPr>
        <w:t>20,1</w:t>
      </w:r>
      <w:r w:rsidR="00C4794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B2162" w:rsidRPr="00C2212D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AB2162" w:rsidRPr="00C2212D" w:rsidRDefault="000725BE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AB2162" w:rsidRPr="00C2212D">
        <w:rPr>
          <w:rFonts w:ascii="Times New Roman" w:hAnsi="Times New Roman" w:cs="Times New Roman"/>
          <w:sz w:val="28"/>
          <w:szCs w:val="28"/>
        </w:rPr>
        <w:t>запросы предложений</w:t>
      </w:r>
      <w:r w:rsidR="005F03E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B93F67" w:rsidRPr="00C2212D">
        <w:rPr>
          <w:rFonts w:ascii="Times New Roman" w:hAnsi="Times New Roman" w:cs="Times New Roman"/>
          <w:sz w:val="28"/>
          <w:szCs w:val="28"/>
        </w:rPr>
        <w:t xml:space="preserve"> - </w:t>
      </w:r>
      <w:r w:rsidR="00044416" w:rsidRPr="00C2212D">
        <w:rPr>
          <w:rFonts w:ascii="Times New Roman" w:hAnsi="Times New Roman" w:cs="Times New Roman"/>
          <w:sz w:val="28"/>
          <w:szCs w:val="28"/>
        </w:rPr>
        <w:t>4</w:t>
      </w:r>
      <w:r w:rsidR="00C4794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B2162" w:rsidRPr="00C2212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44416" w:rsidRPr="00C2212D">
        <w:rPr>
          <w:rFonts w:ascii="Times New Roman" w:hAnsi="Times New Roman" w:cs="Times New Roman"/>
          <w:sz w:val="28"/>
          <w:szCs w:val="28"/>
        </w:rPr>
        <w:t>2,3</w:t>
      </w:r>
      <w:r w:rsidR="00C4794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7F78AA" w:rsidRPr="00C2212D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4874D4" w:rsidRPr="00C2212D" w:rsidRDefault="004874D4" w:rsidP="00722376">
      <w:pPr>
        <w:ind w:firstLine="539"/>
        <w:jc w:val="right"/>
        <w:rPr>
          <w:rFonts w:ascii="Times New Roman" w:hAnsi="Times New Roman" w:cs="Times New Roman"/>
          <w:i/>
        </w:rPr>
      </w:pPr>
      <w:r w:rsidRPr="00C2212D">
        <w:rPr>
          <w:rFonts w:ascii="Times New Roman" w:hAnsi="Times New Roman" w:cs="Times New Roman"/>
          <w:i/>
        </w:rPr>
        <w:t xml:space="preserve">Диаграмма № </w:t>
      </w:r>
      <w:r w:rsidR="00B50075" w:rsidRPr="00C2212D">
        <w:rPr>
          <w:rFonts w:ascii="Times New Roman" w:hAnsi="Times New Roman" w:cs="Times New Roman"/>
          <w:i/>
        </w:rPr>
        <w:t>4</w:t>
      </w:r>
    </w:p>
    <w:p w:rsidR="004874D4" w:rsidRPr="00C2212D" w:rsidRDefault="004874D4" w:rsidP="00722376">
      <w:pPr>
        <w:ind w:firstLine="539"/>
        <w:jc w:val="right"/>
        <w:rPr>
          <w:rFonts w:ascii="Times New Roman" w:hAnsi="Times New Roman" w:cs="Times New Roman"/>
          <w:i/>
        </w:rPr>
      </w:pPr>
      <w:r w:rsidRPr="00C2212D"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25B5A8" wp14:editId="44B6DA74">
            <wp:simplePos x="0" y="0"/>
            <wp:positionH relativeFrom="column">
              <wp:posOffset>-24765</wp:posOffset>
            </wp:positionH>
            <wp:positionV relativeFrom="paragraph">
              <wp:posOffset>571500</wp:posOffset>
            </wp:positionV>
            <wp:extent cx="6001385" cy="3914775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12D">
        <w:rPr>
          <w:rFonts w:ascii="Times New Roman" w:hAnsi="Times New Roman" w:cs="Times New Roman"/>
          <w:i/>
        </w:rPr>
        <w:t xml:space="preserve">Доли причин признания процедуры несостоявшейся по общему объему извещений в разрезе способов закупки за </w:t>
      </w:r>
      <w:r w:rsidR="00C84B26" w:rsidRPr="00C2212D">
        <w:rPr>
          <w:rFonts w:ascii="Times New Roman" w:hAnsi="Times New Roman" w:cs="Times New Roman"/>
          <w:i/>
          <w:lang w:val="en-US"/>
        </w:rPr>
        <w:t>I</w:t>
      </w:r>
      <w:r w:rsidR="00C84B26" w:rsidRPr="00C2212D">
        <w:rPr>
          <w:rFonts w:ascii="Times New Roman" w:hAnsi="Times New Roman" w:cs="Times New Roman"/>
          <w:i/>
        </w:rPr>
        <w:t xml:space="preserve"> полугодие 2018 года</w:t>
      </w:r>
    </w:p>
    <w:p w:rsidR="004874D4" w:rsidRPr="00C2212D" w:rsidRDefault="004874D4" w:rsidP="004874D4">
      <w:pPr>
        <w:spacing w:line="312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B41B2A" w:rsidRPr="00C2212D" w:rsidRDefault="004874D4" w:rsidP="00B41B2A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3099F" w:rsidRPr="00C2212D">
        <w:rPr>
          <w:rFonts w:ascii="Times New Roman" w:hAnsi="Times New Roman" w:cs="Times New Roman"/>
          <w:b/>
          <w:i/>
          <w:sz w:val="28"/>
          <w:szCs w:val="28"/>
        </w:rPr>
        <w:t>52%</w:t>
      </w:r>
      <w:r w:rsidR="00D3099F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от общего количества несостоявшихся </w:t>
      </w:r>
      <w:r w:rsidR="00D3099F" w:rsidRPr="00C2212D">
        <w:rPr>
          <w:rFonts w:ascii="Times New Roman" w:hAnsi="Times New Roman" w:cs="Times New Roman"/>
          <w:sz w:val="28"/>
          <w:szCs w:val="28"/>
        </w:rPr>
        <w:t xml:space="preserve">электронных аукционов </w:t>
      </w:r>
      <w:r w:rsidRPr="00C2212D">
        <w:rPr>
          <w:rFonts w:ascii="Times New Roman" w:hAnsi="Times New Roman" w:cs="Times New Roman"/>
          <w:sz w:val="28"/>
          <w:szCs w:val="28"/>
        </w:rPr>
        <w:t>признаны</w:t>
      </w:r>
      <w:r w:rsidRPr="00C2212D">
        <w:rPr>
          <w:rFonts w:ascii="Times New Roman" w:hAnsi="Times New Roman" w:cs="Times New Roman"/>
          <w:i/>
        </w:rPr>
        <w:t xml:space="preserve"> </w:t>
      </w:r>
      <w:r w:rsidR="00B41B2A" w:rsidRPr="00C2212D">
        <w:rPr>
          <w:rFonts w:ascii="Times New Roman" w:hAnsi="Times New Roman" w:cs="Times New Roman"/>
          <w:sz w:val="28"/>
          <w:szCs w:val="28"/>
        </w:rPr>
        <w:t>несостоявшимися по причине «допущена одна заявка»</w:t>
      </w:r>
      <w:r w:rsidR="004E24F5" w:rsidRPr="00C2212D">
        <w:rPr>
          <w:rFonts w:ascii="Times New Roman" w:hAnsi="Times New Roman" w:cs="Times New Roman"/>
          <w:sz w:val="28"/>
          <w:szCs w:val="28"/>
        </w:rPr>
        <w:t>.</w:t>
      </w:r>
      <w:r w:rsidR="00B41B2A" w:rsidRPr="00C2212D">
        <w:rPr>
          <w:rFonts w:ascii="Times New Roman" w:hAnsi="Times New Roman" w:cs="Times New Roman"/>
          <w:sz w:val="28"/>
          <w:szCs w:val="28"/>
        </w:rPr>
        <w:t xml:space="preserve"> Вторая по значимости причина несостоявшихся электронных аукционов – «несоответствие вторых частей заявок участников требованиям аукционной документации» более </w:t>
      </w:r>
      <w:r w:rsidR="000B0565" w:rsidRPr="00C2212D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B41B2A" w:rsidRPr="00C2212D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B41B2A" w:rsidRPr="00C2212D">
        <w:rPr>
          <w:rFonts w:ascii="Times New Roman" w:hAnsi="Times New Roman" w:cs="Times New Roman"/>
          <w:sz w:val="28"/>
          <w:szCs w:val="28"/>
        </w:rPr>
        <w:t>. Н</w:t>
      </w:r>
      <w:r w:rsidR="00140D4B" w:rsidRPr="00C2212D">
        <w:rPr>
          <w:rFonts w:ascii="Times New Roman" w:hAnsi="Times New Roman" w:cs="Times New Roman"/>
          <w:sz w:val="28"/>
          <w:szCs w:val="28"/>
        </w:rPr>
        <w:t>а</w:t>
      </w:r>
      <w:r w:rsidR="00B41B2A" w:rsidRPr="00C2212D">
        <w:rPr>
          <w:rFonts w:ascii="Times New Roman" w:hAnsi="Times New Roman" w:cs="Times New Roman"/>
          <w:sz w:val="28"/>
          <w:szCs w:val="28"/>
        </w:rPr>
        <w:t xml:space="preserve"> основе изученных данных можно судить о </w:t>
      </w:r>
      <w:r w:rsidR="00D3099F">
        <w:rPr>
          <w:rFonts w:ascii="Times New Roman" w:hAnsi="Times New Roman" w:cs="Times New Roman"/>
          <w:sz w:val="28"/>
          <w:szCs w:val="28"/>
        </w:rPr>
        <w:t>недостаточном</w:t>
      </w:r>
      <w:r w:rsidR="00B41B2A" w:rsidRPr="00C2212D">
        <w:rPr>
          <w:rFonts w:ascii="Times New Roman" w:hAnsi="Times New Roman" w:cs="Times New Roman"/>
          <w:sz w:val="28"/>
          <w:szCs w:val="28"/>
        </w:rPr>
        <w:t xml:space="preserve"> качестве подготовки заявок у</w:t>
      </w:r>
      <w:r w:rsidR="00D3099F">
        <w:rPr>
          <w:rFonts w:ascii="Times New Roman" w:hAnsi="Times New Roman" w:cs="Times New Roman"/>
          <w:sz w:val="28"/>
          <w:szCs w:val="28"/>
        </w:rPr>
        <w:t>частников электронных аукционов</w:t>
      </w:r>
      <w:r w:rsidR="00B41B2A" w:rsidRPr="00C2212D">
        <w:rPr>
          <w:rFonts w:ascii="Times New Roman" w:hAnsi="Times New Roman" w:cs="Times New Roman"/>
          <w:sz w:val="28"/>
          <w:szCs w:val="28"/>
        </w:rPr>
        <w:t>.</w:t>
      </w:r>
      <w:r w:rsidRPr="00C2212D">
        <w:rPr>
          <w:b/>
          <w:i/>
          <w:noProof/>
          <w:sz w:val="28"/>
          <w:szCs w:val="28"/>
        </w:rPr>
        <w:t xml:space="preserve"> </w:t>
      </w:r>
    </w:p>
    <w:p w:rsidR="00D564AF" w:rsidRPr="00C2212D" w:rsidRDefault="00D564AF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eastAsia="Calibri" w:hAnsi="Times New Roman" w:cs="Times New Roman"/>
          <w:sz w:val="28"/>
          <w:szCs w:val="28"/>
        </w:rPr>
        <w:t xml:space="preserve">Экономия по результатам завершенных </w:t>
      </w:r>
      <w:r w:rsidR="0093237F" w:rsidRPr="00C2212D">
        <w:rPr>
          <w:rFonts w:ascii="Times New Roman" w:eastAsia="Calibri" w:hAnsi="Times New Roman" w:cs="Times New Roman"/>
          <w:sz w:val="28"/>
          <w:szCs w:val="28"/>
        </w:rPr>
        <w:t xml:space="preserve">в первом полугодии 2018 </w:t>
      </w:r>
      <w:r w:rsidR="00C47191" w:rsidRPr="00C2212D">
        <w:rPr>
          <w:rFonts w:ascii="Times New Roman" w:eastAsia="Calibri" w:hAnsi="Times New Roman" w:cs="Times New Roman"/>
          <w:sz w:val="28"/>
          <w:szCs w:val="28"/>
        </w:rPr>
        <w:t>год</w:t>
      </w:r>
      <w:r w:rsidR="0093237F" w:rsidRPr="00C2212D">
        <w:rPr>
          <w:rFonts w:ascii="Times New Roman" w:eastAsia="Calibri" w:hAnsi="Times New Roman" w:cs="Times New Roman"/>
          <w:sz w:val="28"/>
          <w:szCs w:val="28"/>
        </w:rPr>
        <w:t>а</w:t>
      </w:r>
      <w:r w:rsidR="00C47191" w:rsidRPr="00C22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eastAsia="Calibri" w:hAnsi="Times New Roman" w:cs="Times New Roman"/>
          <w:sz w:val="28"/>
          <w:szCs w:val="28"/>
        </w:rPr>
        <w:t>процедур, опубликованных на официальном сайте ЕИС, которые привели к заключению контракта</w:t>
      </w:r>
      <w:r w:rsidR="00A832F6" w:rsidRPr="00C2212D">
        <w:rPr>
          <w:rFonts w:ascii="Times New Roman" w:eastAsia="Calibri" w:hAnsi="Times New Roman" w:cs="Times New Roman"/>
          <w:sz w:val="28"/>
          <w:szCs w:val="28"/>
        </w:rPr>
        <w:t>,</w:t>
      </w:r>
      <w:r w:rsidRPr="00C22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7191" w:rsidRPr="00C2212D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93237F" w:rsidRPr="00C2212D">
        <w:rPr>
          <w:rFonts w:ascii="Times New Roman" w:eastAsia="Calibri" w:hAnsi="Times New Roman" w:cs="Times New Roman"/>
          <w:b/>
          <w:i/>
          <w:sz w:val="28"/>
          <w:szCs w:val="28"/>
        </w:rPr>
        <w:t>1 660,43</w:t>
      </w:r>
      <w:r w:rsidR="002653D7" w:rsidRPr="00C2212D">
        <w:rPr>
          <w:rFonts w:ascii="Times New Roman" w:eastAsia="Calibri" w:hAnsi="Times New Roman" w:cs="Times New Roman"/>
          <w:sz w:val="28"/>
          <w:szCs w:val="28"/>
        </w:rPr>
        <w:t xml:space="preserve"> млн. рублей (</w:t>
      </w:r>
      <w:r w:rsidR="002653D7" w:rsidRPr="00C2212D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="0093237F" w:rsidRPr="00C2212D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="002653D7" w:rsidRPr="00C2212D">
        <w:rPr>
          <w:rFonts w:ascii="Times New Roman" w:eastAsia="Calibri" w:hAnsi="Times New Roman" w:cs="Times New Roman"/>
          <w:i/>
          <w:sz w:val="28"/>
          <w:szCs w:val="28"/>
        </w:rPr>
        <w:t>% от общего объема процедур, которые привели к заключению контракта</w:t>
      </w:r>
      <w:r w:rsidR="002653D7" w:rsidRPr="00C2212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D564AF" w:rsidRPr="00C2212D" w:rsidRDefault="00D564AF" w:rsidP="0065076D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С</w:t>
      </w:r>
      <w:r w:rsidR="00182DB7" w:rsidRPr="00C2212D">
        <w:rPr>
          <w:rFonts w:ascii="Times New Roman" w:hAnsi="Times New Roman" w:cs="Times New Roman"/>
          <w:sz w:val="28"/>
          <w:szCs w:val="28"/>
        </w:rPr>
        <w:t xml:space="preserve">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нужд </w:t>
      </w:r>
      <w:r w:rsidR="0093237F" w:rsidRPr="00C2212D">
        <w:rPr>
          <w:rFonts w:ascii="Times New Roman" w:hAnsi="Times New Roman" w:cs="Times New Roman"/>
          <w:sz w:val="28"/>
          <w:szCs w:val="28"/>
        </w:rPr>
        <w:t>в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93237F" w:rsidRPr="00C2212D">
        <w:rPr>
          <w:rFonts w:ascii="Times New Roman" w:eastAsia="Calibri" w:hAnsi="Times New Roman" w:cs="Times New Roman"/>
          <w:sz w:val="28"/>
          <w:szCs w:val="28"/>
        </w:rPr>
        <w:t xml:space="preserve">первом полугодии 2018 года </w:t>
      </w:r>
      <w:r w:rsidRPr="00C2212D">
        <w:rPr>
          <w:rFonts w:ascii="Times New Roman" w:hAnsi="Times New Roman" w:cs="Times New Roman"/>
          <w:sz w:val="28"/>
          <w:szCs w:val="28"/>
        </w:rPr>
        <w:t>составил</w:t>
      </w:r>
      <w:r w:rsidR="00182DB7" w:rsidRPr="00C2212D">
        <w:rPr>
          <w:rFonts w:ascii="Times New Roman" w:hAnsi="Times New Roman" w:cs="Times New Roman"/>
          <w:sz w:val="28"/>
          <w:szCs w:val="28"/>
        </w:rPr>
        <w:t>о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061316" w:rsidRPr="00C2212D">
        <w:rPr>
          <w:rFonts w:ascii="Times New Roman" w:hAnsi="Times New Roman" w:cs="Times New Roman"/>
          <w:sz w:val="28"/>
          <w:szCs w:val="28"/>
        </w:rPr>
        <w:t>–</w:t>
      </w:r>
      <w:r w:rsidRPr="00C2212D">
        <w:rPr>
          <w:rFonts w:ascii="Times New Roman" w:hAnsi="Times New Roman" w:cs="Times New Roman"/>
          <w:sz w:val="28"/>
          <w:szCs w:val="28"/>
        </w:rPr>
        <w:t xml:space="preserve">  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>2,</w:t>
      </w:r>
      <w:r w:rsidR="00182DB7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B41B2A" w:rsidRPr="00C2212D">
        <w:rPr>
          <w:rFonts w:ascii="Times New Roman" w:hAnsi="Times New Roman" w:cs="Times New Roman"/>
          <w:sz w:val="28"/>
          <w:szCs w:val="28"/>
        </w:rPr>
        <w:t>участника на одну закупку</w:t>
      </w:r>
      <w:r w:rsidR="009F0328">
        <w:rPr>
          <w:rFonts w:ascii="Times New Roman" w:hAnsi="Times New Roman" w:cs="Times New Roman"/>
          <w:sz w:val="28"/>
          <w:szCs w:val="28"/>
        </w:rPr>
        <w:t xml:space="preserve"> </w:t>
      </w:r>
      <w:r w:rsidR="009F0328" w:rsidRPr="009F0328">
        <w:rPr>
          <w:rFonts w:ascii="Times New Roman" w:hAnsi="Times New Roman" w:cs="Times New Roman"/>
          <w:i/>
          <w:sz w:val="28"/>
          <w:szCs w:val="28"/>
        </w:rPr>
        <w:t xml:space="preserve">(по закупкам проведенных Департаментом – </w:t>
      </w:r>
      <w:r w:rsidR="009F0328" w:rsidRPr="009F0328">
        <w:rPr>
          <w:rFonts w:ascii="Times New Roman" w:hAnsi="Times New Roman" w:cs="Times New Roman"/>
          <w:b/>
          <w:i/>
          <w:sz w:val="28"/>
          <w:szCs w:val="28"/>
        </w:rPr>
        <w:t>2,7</w:t>
      </w:r>
      <w:r w:rsidR="009F0328" w:rsidRPr="009F0328">
        <w:rPr>
          <w:rFonts w:ascii="Times New Roman" w:hAnsi="Times New Roman" w:cs="Times New Roman"/>
          <w:i/>
          <w:sz w:val="28"/>
          <w:szCs w:val="28"/>
        </w:rPr>
        <w:t xml:space="preserve"> участника на одну закупку</w:t>
      </w:r>
      <w:r w:rsidR="009F0328">
        <w:rPr>
          <w:rFonts w:ascii="Times New Roman" w:hAnsi="Times New Roman" w:cs="Times New Roman"/>
          <w:i/>
          <w:sz w:val="28"/>
          <w:szCs w:val="28"/>
        </w:rPr>
        <w:t>)</w:t>
      </w:r>
      <w:r w:rsidR="0065076D" w:rsidRPr="00C2212D">
        <w:rPr>
          <w:rFonts w:ascii="Times New Roman" w:hAnsi="Times New Roman" w:cs="Times New Roman"/>
          <w:sz w:val="28"/>
          <w:szCs w:val="28"/>
        </w:rPr>
        <w:t>.</w:t>
      </w:r>
    </w:p>
    <w:p w:rsidR="009F0328" w:rsidRDefault="009F0328" w:rsidP="0065076D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участников закупок отмечается в сфере</w:t>
      </w:r>
      <w:r w:rsidRPr="00C2212D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9F0328">
        <w:rPr>
          <w:rFonts w:ascii="Times New Roman" w:hAnsi="Times New Roman" w:cs="Times New Roman"/>
          <w:b/>
          <w:i/>
          <w:sz w:val="28"/>
          <w:szCs w:val="28"/>
        </w:rPr>
        <w:t>3,6</w:t>
      </w:r>
      <w:r w:rsidRPr="00C2212D">
        <w:rPr>
          <w:rFonts w:ascii="Times New Roman" w:hAnsi="Times New Roman" w:cs="Times New Roman"/>
          <w:sz w:val="28"/>
          <w:szCs w:val="28"/>
        </w:rPr>
        <w:t xml:space="preserve"> заявок участников на одну процедуру закупки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328" w:rsidRDefault="009F0328" w:rsidP="0065076D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Наименьшее количество участников отмечено в сфере закупок </w:t>
      </w:r>
      <w:r w:rsidRPr="00C2212D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2212D">
        <w:rPr>
          <w:rFonts w:ascii="Times New Roman" w:hAnsi="Times New Roman" w:cs="Times New Roman"/>
          <w:sz w:val="28"/>
          <w:szCs w:val="28"/>
        </w:rPr>
        <w:t xml:space="preserve"> менее 1,8 заявок участников на одну процедуру закупки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F2E" w:rsidRDefault="00D66F2E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66F2E" w:rsidRDefault="00D66F2E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237AD" w:rsidRDefault="00516E95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B29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FA49E1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757B29">
        <w:rPr>
          <w:rFonts w:ascii="Times New Roman" w:hAnsi="Times New Roman" w:cs="Times New Roman"/>
          <w:b/>
          <w:i/>
          <w:sz w:val="28"/>
          <w:szCs w:val="28"/>
        </w:rPr>
        <w:t xml:space="preserve"> Анализ заключенных контрактов </w:t>
      </w:r>
    </w:p>
    <w:p w:rsidR="00FA49E1" w:rsidRPr="00757B29" w:rsidRDefault="00FA49E1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310" w:rsidRPr="00C2212D" w:rsidRDefault="005271E0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По </w:t>
      </w:r>
      <w:r w:rsidR="00FA1026" w:rsidRPr="00C2212D">
        <w:rPr>
          <w:rFonts w:ascii="Times New Roman" w:hAnsi="Times New Roman" w:cs="Times New Roman"/>
          <w:sz w:val="28"/>
          <w:szCs w:val="28"/>
        </w:rPr>
        <w:t>информации</w:t>
      </w:r>
      <w:r w:rsidR="003840A8" w:rsidRPr="00C2212D">
        <w:rPr>
          <w:rFonts w:ascii="Times New Roman" w:hAnsi="Times New Roman" w:cs="Times New Roman"/>
          <w:sz w:val="28"/>
          <w:szCs w:val="28"/>
        </w:rPr>
        <w:t xml:space="preserve"> ЕИС в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C84B26" w:rsidRPr="00C84B26">
        <w:rPr>
          <w:rFonts w:ascii="Times New Roman" w:hAnsi="Times New Roman" w:cs="Times New Roman"/>
          <w:sz w:val="28"/>
          <w:szCs w:val="28"/>
        </w:rPr>
        <w:t xml:space="preserve">I полугодие 2018 года </w:t>
      </w:r>
      <w:r w:rsidRPr="00C2212D">
        <w:rPr>
          <w:rFonts w:ascii="Times New Roman" w:hAnsi="Times New Roman" w:cs="Times New Roman"/>
          <w:sz w:val="28"/>
          <w:szCs w:val="28"/>
        </w:rPr>
        <w:t xml:space="preserve">было внесено в реестр контрактов </w:t>
      </w:r>
      <w:r w:rsidR="00A36FA7" w:rsidRPr="00C2212D">
        <w:rPr>
          <w:rFonts w:ascii="Times New Roman" w:hAnsi="Times New Roman" w:cs="Times New Roman"/>
          <w:b/>
          <w:i/>
          <w:sz w:val="28"/>
          <w:szCs w:val="28"/>
        </w:rPr>
        <w:t>18 125</w:t>
      </w:r>
      <w:r w:rsidR="00DC65CE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40A8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 контрактов с суммарной ценой </w:t>
      </w:r>
      <w:r w:rsidR="004F7556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36FA7" w:rsidRPr="00C2212D">
        <w:rPr>
          <w:rFonts w:ascii="Times New Roman" w:hAnsi="Times New Roman" w:cs="Times New Roman"/>
          <w:b/>
          <w:i/>
          <w:sz w:val="28"/>
          <w:szCs w:val="28"/>
        </w:rPr>
        <w:t>22 043,55</w:t>
      </w:r>
      <w:r w:rsidR="004F7556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4F7556" w:rsidRPr="00C2212D">
        <w:rPr>
          <w:rFonts w:ascii="Times New Roman" w:hAnsi="Times New Roman" w:cs="Times New Roman"/>
          <w:sz w:val="28"/>
          <w:szCs w:val="28"/>
        </w:rPr>
        <w:t>млн</w:t>
      </w:r>
      <w:r w:rsidRPr="00C2212D">
        <w:rPr>
          <w:rFonts w:ascii="Times New Roman" w:hAnsi="Times New Roman" w:cs="Times New Roman"/>
          <w:sz w:val="28"/>
          <w:szCs w:val="28"/>
        </w:rPr>
        <w:t>.</w:t>
      </w:r>
      <w:r w:rsidR="00A4783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>рублей. Большая часть</w:t>
      </w:r>
      <w:r w:rsidR="00F9077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4F7556" w:rsidRPr="00C2212D">
        <w:rPr>
          <w:rFonts w:ascii="Times New Roman" w:hAnsi="Times New Roman" w:cs="Times New Roman"/>
          <w:sz w:val="28"/>
          <w:szCs w:val="28"/>
        </w:rPr>
        <w:t>–</w:t>
      </w:r>
      <w:r w:rsidR="00F9077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36FA7" w:rsidRPr="00C2212D">
        <w:rPr>
          <w:rFonts w:ascii="Times New Roman" w:hAnsi="Times New Roman" w:cs="Times New Roman"/>
          <w:b/>
          <w:i/>
          <w:sz w:val="28"/>
          <w:szCs w:val="28"/>
        </w:rPr>
        <w:t>13 365</w:t>
      </w:r>
      <w:r w:rsidR="00F9077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F90771" w:rsidRPr="00C2212D">
        <w:rPr>
          <w:rFonts w:ascii="Times New Roman" w:hAnsi="Times New Roman" w:cs="Times New Roman"/>
          <w:sz w:val="28"/>
          <w:szCs w:val="28"/>
        </w:rPr>
        <w:t>контрактов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F90771" w:rsidRPr="00C2212D">
        <w:rPr>
          <w:rFonts w:ascii="Times New Roman" w:hAnsi="Times New Roman" w:cs="Times New Roman"/>
          <w:sz w:val="28"/>
          <w:szCs w:val="28"/>
        </w:rPr>
        <w:t>(</w:t>
      </w:r>
      <w:r w:rsidR="00A36FA7" w:rsidRPr="00C2212D">
        <w:rPr>
          <w:rFonts w:ascii="Times New Roman" w:hAnsi="Times New Roman" w:cs="Times New Roman"/>
          <w:sz w:val="28"/>
          <w:szCs w:val="28"/>
        </w:rPr>
        <w:t>74</w:t>
      </w:r>
      <w:r w:rsidR="004F7556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771"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контрактов</w:t>
      </w:r>
      <w:r w:rsidR="00F90771" w:rsidRPr="00C2212D">
        <w:rPr>
          <w:rFonts w:ascii="Times New Roman" w:hAnsi="Times New Roman" w:cs="Times New Roman"/>
          <w:sz w:val="28"/>
          <w:szCs w:val="28"/>
        </w:rPr>
        <w:t xml:space="preserve">) с суммарной ценой </w:t>
      </w:r>
      <w:r w:rsidR="00A36FA7" w:rsidRPr="00C2212D">
        <w:rPr>
          <w:rFonts w:ascii="Times New Roman" w:hAnsi="Times New Roman" w:cs="Times New Roman"/>
          <w:b/>
          <w:i/>
          <w:sz w:val="28"/>
          <w:szCs w:val="28"/>
        </w:rPr>
        <w:t>19 190,11</w:t>
      </w:r>
      <w:r w:rsidR="00F9077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F9077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90771" w:rsidRPr="00531F27">
        <w:rPr>
          <w:rFonts w:ascii="Times New Roman" w:hAnsi="Times New Roman" w:cs="Times New Roman"/>
          <w:b/>
          <w:sz w:val="28"/>
          <w:szCs w:val="28"/>
        </w:rPr>
        <w:t>(</w:t>
      </w:r>
      <w:r w:rsidR="00A36FA7" w:rsidRPr="00531F27">
        <w:rPr>
          <w:rFonts w:ascii="Times New Roman" w:hAnsi="Times New Roman" w:cs="Times New Roman"/>
          <w:b/>
          <w:sz w:val="28"/>
          <w:szCs w:val="28"/>
        </w:rPr>
        <w:t>87</w:t>
      </w:r>
      <w:r w:rsidR="00531F27" w:rsidRPr="00531F27">
        <w:rPr>
          <w:rFonts w:ascii="Times New Roman" w:hAnsi="Times New Roman" w:cs="Times New Roman"/>
          <w:b/>
          <w:sz w:val="28"/>
          <w:szCs w:val="28"/>
        </w:rPr>
        <w:t> </w:t>
      </w:r>
      <w:r w:rsidR="00F90771" w:rsidRPr="00531F27">
        <w:rPr>
          <w:rFonts w:ascii="Times New Roman" w:hAnsi="Times New Roman" w:cs="Times New Roman"/>
          <w:b/>
          <w:sz w:val="28"/>
          <w:szCs w:val="28"/>
        </w:rPr>
        <w:t>% от общей суммы контрактов)</w:t>
      </w:r>
      <w:bookmarkEnd w:id="0"/>
      <w:r w:rsidR="00F90771" w:rsidRPr="00C2212D">
        <w:rPr>
          <w:rFonts w:ascii="Times New Roman" w:hAnsi="Times New Roman" w:cs="Times New Roman"/>
          <w:sz w:val="28"/>
          <w:szCs w:val="28"/>
        </w:rPr>
        <w:t xml:space="preserve"> контрактов заключена по результатам электронных аукционов.</w:t>
      </w:r>
    </w:p>
    <w:p w:rsidR="00A4783D" w:rsidRPr="00C2212D" w:rsidRDefault="00A4783D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По результатам состоявшихся процедур было заключено </w:t>
      </w:r>
      <w:r w:rsidR="00275EC2" w:rsidRPr="00C2212D">
        <w:rPr>
          <w:rFonts w:ascii="Times New Roman" w:hAnsi="Times New Roman" w:cs="Times New Roman"/>
          <w:b/>
          <w:i/>
          <w:sz w:val="28"/>
          <w:szCs w:val="28"/>
        </w:rPr>
        <w:t>10 822</w:t>
      </w:r>
      <w:r w:rsidR="00DC65CE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>контракт</w:t>
      </w:r>
      <w:r w:rsidR="009F0328">
        <w:rPr>
          <w:rFonts w:ascii="Times New Roman" w:hAnsi="Times New Roman" w:cs="Times New Roman"/>
          <w:sz w:val="28"/>
          <w:szCs w:val="28"/>
        </w:rPr>
        <w:t>а</w:t>
      </w:r>
      <w:r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="008B7B8D" w:rsidRPr="00C2212D">
        <w:rPr>
          <w:rFonts w:ascii="Times New Roman" w:hAnsi="Times New Roman" w:cs="Times New Roman"/>
          <w:sz w:val="28"/>
          <w:szCs w:val="28"/>
        </w:rPr>
        <w:t>60</w:t>
      </w:r>
      <w:r w:rsidR="00AE7A79" w:rsidRPr="00C22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контрактов</w:t>
      </w:r>
      <w:r w:rsidRPr="00C2212D">
        <w:rPr>
          <w:rFonts w:ascii="Times New Roman" w:hAnsi="Times New Roman" w:cs="Times New Roman"/>
          <w:sz w:val="28"/>
          <w:szCs w:val="28"/>
        </w:rPr>
        <w:t xml:space="preserve">) с суммарной ценой </w:t>
      </w:r>
      <w:r w:rsidR="00275EC2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14 290,35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="00275EC2" w:rsidRPr="00C2212D">
        <w:rPr>
          <w:rFonts w:ascii="Times New Roman" w:hAnsi="Times New Roman" w:cs="Times New Roman"/>
          <w:i/>
          <w:sz w:val="28"/>
          <w:szCs w:val="28"/>
        </w:rPr>
        <w:t>65</w:t>
      </w:r>
      <w:r w:rsidRPr="00C2212D">
        <w:rPr>
          <w:rFonts w:ascii="Times New Roman" w:hAnsi="Times New Roman" w:cs="Times New Roman"/>
          <w:i/>
          <w:sz w:val="28"/>
          <w:szCs w:val="28"/>
        </w:rPr>
        <w:t xml:space="preserve"> % от общей суммы контрактов</w:t>
      </w:r>
      <w:r w:rsidRPr="00C2212D">
        <w:rPr>
          <w:rFonts w:ascii="Times New Roman" w:hAnsi="Times New Roman" w:cs="Times New Roman"/>
          <w:sz w:val="28"/>
          <w:szCs w:val="28"/>
        </w:rPr>
        <w:t>)</w:t>
      </w:r>
      <w:r w:rsidR="00131D5C" w:rsidRPr="00C2212D">
        <w:rPr>
          <w:rFonts w:ascii="Times New Roman" w:hAnsi="Times New Roman" w:cs="Times New Roman"/>
          <w:sz w:val="28"/>
          <w:szCs w:val="28"/>
        </w:rPr>
        <w:t>.</w:t>
      </w:r>
    </w:p>
    <w:p w:rsidR="00A4783D" w:rsidRPr="00C2212D" w:rsidRDefault="00A4783D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По результатам несостоявшихся процедур было заключено </w:t>
      </w:r>
      <w:r w:rsidR="00275EC2" w:rsidRPr="00C2212D">
        <w:rPr>
          <w:rFonts w:ascii="Times New Roman" w:hAnsi="Times New Roman" w:cs="Times New Roman"/>
          <w:b/>
          <w:i/>
          <w:sz w:val="28"/>
          <w:szCs w:val="28"/>
        </w:rPr>
        <w:t>7301</w:t>
      </w:r>
      <w:r w:rsidR="003840A8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Pr="00C2212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B7B8D" w:rsidRPr="00C2212D">
        <w:rPr>
          <w:rFonts w:ascii="Times New Roman" w:hAnsi="Times New Roman" w:cs="Times New Roman"/>
          <w:i/>
          <w:sz w:val="28"/>
          <w:szCs w:val="28"/>
        </w:rPr>
        <w:t>40</w:t>
      </w:r>
      <w:r w:rsidR="00531F27">
        <w:rPr>
          <w:rFonts w:ascii="Times New Roman" w:hAnsi="Times New Roman" w:cs="Times New Roman"/>
          <w:i/>
          <w:sz w:val="28"/>
          <w:szCs w:val="28"/>
        </w:rPr>
        <w:t> </w:t>
      </w:r>
      <w:r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контрактов</w:t>
      </w:r>
      <w:r w:rsidRPr="00C2212D">
        <w:rPr>
          <w:rFonts w:ascii="Times New Roman" w:hAnsi="Times New Roman" w:cs="Times New Roman"/>
          <w:sz w:val="28"/>
          <w:szCs w:val="28"/>
        </w:rPr>
        <w:t xml:space="preserve">) с суммарной ценой </w:t>
      </w:r>
      <w:r w:rsidR="008B7B8D" w:rsidRPr="00C2212D">
        <w:rPr>
          <w:rFonts w:ascii="Times New Roman" w:hAnsi="Times New Roman" w:cs="Times New Roman"/>
          <w:sz w:val="28"/>
          <w:szCs w:val="28"/>
        </w:rPr>
        <w:br/>
      </w:r>
      <w:r w:rsidR="00275EC2" w:rsidRPr="00C2212D">
        <w:rPr>
          <w:rFonts w:ascii="Times New Roman" w:hAnsi="Times New Roman" w:cs="Times New Roman"/>
          <w:b/>
          <w:i/>
          <w:sz w:val="28"/>
          <w:szCs w:val="28"/>
        </w:rPr>
        <w:t>7 753,20</w:t>
      </w:r>
      <w:r w:rsidR="003840A8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="008B7B8D" w:rsidRPr="00531F27">
        <w:rPr>
          <w:rFonts w:ascii="Times New Roman" w:hAnsi="Times New Roman" w:cs="Times New Roman"/>
          <w:i/>
          <w:sz w:val="28"/>
          <w:szCs w:val="28"/>
        </w:rPr>
        <w:t>35</w:t>
      </w:r>
      <w:r w:rsidR="00531F27">
        <w:rPr>
          <w:rFonts w:ascii="Times New Roman" w:hAnsi="Times New Roman" w:cs="Times New Roman"/>
          <w:i/>
          <w:sz w:val="28"/>
          <w:szCs w:val="28"/>
        </w:rPr>
        <w:t> </w:t>
      </w:r>
      <w:r w:rsidRPr="00531F27">
        <w:rPr>
          <w:rFonts w:ascii="Times New Roman" w:hAnsi="Times New Roman" w:cs="Times New Roman"/>
          <w:i/>
          <w:sz w:val="28"/>
          <w:szCs w:val="28"/>
        </w:rPr>
        <w:t>% от общей суммы контрактов</w:t>
      </w:r>
      <w:r w:rsidRPr="00C2212D">
        <w:rPr>
          <w:rFonts w:ascii="Times New Roman" w:hAnsi="Times New Roman" w:cs="Times New Roman"/>
          <w:sz w:val="28"/>
          <w:szCs w:val="28"/>
        </w:rPr>
        <w:t>)</w:t>
      </w:r>
      <w:r w:rsidR="00B60B5B" w:rsidRPr="00C2212D">
        <w:rPr>
          <w:rFonts w:ascii="Times New Roman" w:hAnsi="Times New Roman" w:cs="Times New Roman"/>
          <w:sz w:val="28"/>
          <w:szCs w:val="28"/>
        </w:rPr>
        <w:t xml:space="preserve">, в случаях </w:t>
      </w:r>
      <w:r w:rsidR="009562F2" w:rsidRPr="00C2212D">
        <w:rPr>
          <w:rFonts w:ascii="Times New Roman" w:hAnsi="Times New Roman" w:cs="Times New Roman"/>
          <w:sz w:val="28"/>
          <w:szCs w:val="28"/>
        </w:rPr>
        <w:t>предусмотренных</w:t>
      </w:r>
      <w:r w:rsidR="00B60B5B" w:rsidRPr="00C2212D">
        <w:rPr>
          <w:rFonts w:ascii="Times New Roman" w:hAnsi="Times New Roman" w:cs="Times New Roman"/>
          <w:sz w:val="28"/>
          <w:szCs w:val="28"/>
        </w:rPr>
        <w:t xml:space="preserve"> действующим Законом о </w:t>
      </w:r>
      <w:r w:rsidR="009562F2" w:rsidRPr="00C2212D">
        <w:rPr>
          <w:rFonts w:ascii="Times New Roman" w:hAnsi="Times New Roman" w:cs="Times New Roman"/>
          <w:sz w:val="28"/>
          <w:szCs w:val="28"/>
        </w:rPr>
        <w:t>контрактной</w:t>
      </w:r>
      <w:r w:rsidR="00B60B5B" w:rsidRPr="00C2212D">
        <w:rPr>
          <w:rFonts w:ascii="Times New Roman" w:hAnsi="Times New Roman" w:cs="Times New Roman"/>
          <w:sz w:val="28"/>
          <w:szCs w:val="28"/>
        </w:rPr>
        <w:t xml:space="preserve"> системе.</w:t>
      </w:r>
    </w:p>
    <w:p w:rsidR="002E742F" w:rsidRPr="00C2212D" w:rsidRDefault="003A778B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С единственным поставщиком  было заключено </w:t>
      </w:r>
      <w:r w:rsidR="00275EC2" w:rsidRPr="00C2212D">
        <w:rPr>
          <w:rFonts w:ascii="Times New Roman" w:hAnsi="Times New Roman" w:cs="Times New Roman"/>
          <w:b/>
          <w:i/>
          <w:sz w:val="28"/>
          <w:szCs w:val="28"/>
        </w:rPr>
        <w:t>2 594</w:t>
      </w:r>
      <w:r w:rsidR="003840A8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5EC2" w:rsidRPr="00C2212D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5A068F" w:rsidRPr="00C2212D">
        <w:rPr>
          <w:rFonts w:ascii="Times New Roman" w:hAnsi="Times New Roman" w:cs="Times New Roman"/>
          <w:sz w:val="28"/>
          <w:szCs w:val="28"/>
        </w:rPr>
        <w:br/>
      </w:r>
      <w:r w:rsidRPr="00C2212D">
        <w:rPr>
          <w:rFonts w:ascii="Times New Roman" w:hAnsi="Times New Roman" w:cs="Times New Roman"/>
          <w:sz w:val="28"/>
          <w:szCs w:val="28"/>
        </w:rPr>
        <w:t>(</w:t>
      </w:r>
      <w:r w:rsidR="008B7B8D" w:rsidRPr="00C2212D">
        <w:rPr>
          <w:rFonts w:ascii="Times New Roman" w:hAnsi="Times New Roman" w:cs="Times New Roman"/>
          <w:i/>
          <w:sz w:val="28"/>
          <w:szCs w:val="28"/>
        </w:rPr>
        <w:t>14</w:t>
      </w:r>
      <w:r w:rsidR="00531F27">
        <w:rPr>
          <w:rFonts w:ascii="Times New Roman" w:hAnsi="Times New Roman" w:cs="Times New Roman"/>
          <w:i/>
          <w:sz w:val="28"/>
          <w:szCs w:val="28"/>
        </w:rPr>
        <w:t> </w:t>
      </w:r>
      <w:r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контрактов</w:t>
      </w:r>
      <w:r w:rsidRPr="00C2212D">
        <w:rPr>
          <w:rFonts w:ascii="Times New Roman" w:hAnsi="Times New Roman" w:cs="Times New Roman"/>
          <w:sz w:val="28"/>
          <w:szCs w:val="28"/>
        </w:rPr>
        <w:t>) с  суммарной ценой</w:t>
      </w:r>
      <w:r w:rsidRPr="00C2212D">
        <w:t xml:space="preserve"> </w:t>
      </w:r>
      <w:r w:rsidR="00275EC2" w:rsidRPr="00C2212D">
        <w:rPr>
          <w:rFonts w:ascii="Times New Roman" w:hAnsi="Times New Roman" w:cs="Times New Roman"/>
          <w:b/>
          <w:i/>
          <w:sz w:val="28"/>
          <w:szCs w:val="28"/>
        </w:rPr>
        <w:t>2 353,4</w:t>
      </w:r>
      <w:r w:rsidR="002E742F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2E742F"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="008B7B8D" w:rsidRPr="00531F27">
        <w:rPr>
          <w:rFonts w:ascii="Times New Roman" w:hAnsi="Times New Roman" w:cs="Times New Roman"/>
          <w:i/>
          <w:sz w:val="28"/>
          <w:szCs w:val="28"/>
        </w:rPr>
        <w:t>10</w:t>
      </w:r>
      <w:r w:rsidR="00531F27">
        <w:rPr>
          <w:rFonts w:ascii="Times New Roman" w:hAnsi="Times New Roman" w:cs="Times New Roman"/>
          <w:sz w:val="28"/>
          <w:szCs w:val="28"/>
        </w:rPr>
        <w:t> </w:t>
      </w:r>
      <w:r w:rsidRPr="00C2212D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Pr="00C2212D">
        <w:rPr>
          <w:rFonts w:ascii="Times New Roman" w:hAnsi="Times New Roman" w:cs="Times New Roman"/>
          <w:bCs/>
          <w:i/>
          <w:sz w:val="28"/>
          <w:szCs w:val="28"/>
        </w:rPr>
        <w:t>от общей суммы контрактов</w:t>
      </w:r>
      <w:r w:rsidRPr="00C2212D">
        <w:rPr>
          <w:rFonts w:ascii="Times New Roman" w:hAnsi="Times New Roman" w:cs="Times New Roman"/>
          <w:sz w:val="28"/>
          <w:szCs w:val="28"/>
        </w:rPr>
        <w:t>), из них</w:t>
      </w:r>
      <w:r w:rsidR="00302BE9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2566B1" w:rsidRPr="00C2212D">
        <w:rPr>
          <w:rFonts w:ascii="Times New Roman" w:hAnsi="Times New Roman" w:cs="Times New Roman"/>
          <w:sz w:val="28"/>
          <w:szCs w:val="28"/>
        </w:rPr>
        <w:t>заключен</w:t>
      </w:r>
      <w:r w:rsidR="002566B1">
        <w:rPr>
          <w:rFonts w:ascii="Times New Roman" w:hAnsi="Times New Roman" w:cs="Times New Roman"/>
          <w:sz w:val="28"/>
          <w:szCs w:val="28"/>
        </w:rPr>
        <w:t xml:space="preserve">ы </w:t>
      </w:r>
      <w:r w:rsidR="00302BE9" w:rsidRPr="00C2212D">
        <w:rPr>
          <w:rFonts w:ascii="Times New Roman" w:hAnsi="Times New Roman" w:cs="Times New Roman"/>
          <w:sz w:val="28"/>
          <w:szCs w:val="28"/>
        </w:rPr>
        <w:t>контракт</w:t>
      </w:r>
      <w:r w:rsidR="002566B1">
        <w:rPr>
          <w:rFonts w:ascii="Times New Roman" w:hAnsi="Times New Roman" w:cs="Times New Roman"/>
          <w:sz w:val="28"/>
          <w:szCs w:val="28"/>
        </w:rPr>
        <w:t>ы</w:t>
      </w:r>
      <w:r w:rsidR="00302BE9" w:rsidRPr="00C2212D">
        <w:rPr>
          <w:rFonts w:ascii="Times New Roman" w:hAnsi="Times New Roman" w:cs="Times New Roman"/>
          <w:sz w:val="28"/>
          <w:szCs w:val="28"/>
        </w:rPr>
        <w:t xml:space="preserve"> по </w:t>
      </w:r>
      <w:r w:rsidR="002566B1">
        <w:rPr>
          <w:rFonts w:ascii="Times New Roman" w:hAnsi="Times New Roman" w:cs="Times New Roman"/>
          <w:sz w:val="28"/>
          <w:szCs w:val="28"/>
        </w:rPr>
        <w:t>следующим</w:t>
      </w:r>
      <w:r w:rsidR="001A3C21">
        <w:rPr>
          <w:rFonts w:ascii="Times New Roman" w:hAnsi="Times New Roman" w:cs="Times New Roman"/>
          <w:sz w:val="28"/>
          <w:szCs w:val="28"/>
        </w:rPr>
        <w:t xml:space="preserve"> </w:t>
      </w:r>
      <w:r w:rsidR="00302BE9" w:rsidRPr="00C2212D">
        <w:rPr>
          <w:rFonts w:ascii="Times New Roman" w:hAnsi="Times New Roman" w:cs="Times New Roman"/>
          <w:sz w:val="28"/>
          <w:szCs w:val="28"/>
        </w:rPr>
        <w:t>основаниям</w:t>
      </w:r>
      <w:r w:rsidR="002E742F" w:rsidRPr="00C2212D">
        <w:rPr>
          <w:rFonts w:ascii="Times New Roman" w:hAnsi="Times New Roman" w:cs="Times New Roman"/>
          <w:sz w:val="28"/>
          <w:szCs w:val="28"/>
        </w:rPr>
        <w:t>:</w:t>
      </w:r>
    </w:p>
    <w:p w:rsidR="00A974C0" w:rsidRPr="00C2212D" w:rsidRDefault="002566B1" w:rsidP="00613955">
      <w:pPr>
        <w:widowControl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– </w:t>
      </w:r>
      <w:r w:rsidR="002D35DD" w:rsidRPr="00C2212D">
        <w:rPr>
          <w:rFonts w:ascii="Times New Roman" w:hAnsi="Times New Roman" w:cs="Times New Roman"/>
          <w:b/>
          <w:i/>
          <w:sz w:val="28"/>
          <w:szCs w:val="28"/>
        </w:rPr>
        <w:t>1242</w:t>
      </w:r>
      <w:r w:rsidR="002D35DD" w:rsidRPr="00C2212D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3A778B"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="002D35DD" w:rsidRPr="00C2212D">
        <w:rPr>
          <w:rFonts w:ascii="Times New Roman" w:hAnsi="Times New Roman" w:cs="Times New Roman"/>
          <w:sz w:val="28"/>
          <w:szCs w:val="28"/>
        </w:rPr>
        <w:t>48</w:t>
      </w:r>
      <w:r w:rsidR="00531F27">
        <w:rPr>
          <w:rFonts w:ascii="Times New Roman" w:hAnsi="Times New Roman" w:cs="Times New Roman"/>
          <w:sz w:val="28"/>
          <w:szCs w:val="28"/>
        </w:rPr>
        <w:t> </w:t>
      </w:r>
      <w:r w:rsidR="003A778B" w:rsidRPr="00C2212D">
        <w:rPr>
          <w:rFonts w:ascii="Times New Roman" w:hAnsi="Times New Roman" w:cs="Times New Roman"/>
          <w:sz w:val="28"/>
          <w:szCs w:val="28"/>
        </w:rPr>
        <w:t xml:space="preserve">% </w:t>
      </w:r>
      <w:r w:rsidR="003A778B" w:rsidRPr="00C2212D">
        <w:rPr>
          <w:rFonts w:ascii="Times New Roman" w:hAnsi="Times New Roman" w:cs="Times New Roman"/>
          <w:bCs/>
          <w:sz w:val="28"/>
          <w:szCs w:val="28"/>
        </w:rPr>
        <w:t>от общего количества контрактов с единственным поставщиком</w:t>
      </w:r>
      <w:r w:rsidR="003A778B" w:rsidRPr="00C2212D">
        <w:rPr>
          <w:rFonts w:ascii="Times New Roman" w:hAnsi="Times New Roman" w:cs="Times New Roman"/>
          <w:sz w:val="28"/>
          <w:szCs w:val="28"/>
        </w:rPr>
        <w:t>) с суммарной ценой</w:t>
      </w:r>
      <w:r w:rsidR="002D35DD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2D35DD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1 178,3 </w:t>
      </w:r>
      <w:r w:rsidR="003A778B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4865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3A778B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02BE9" w:rsidRPr="00C2212D">
        <w:rPr>
          <w:rFonts w:ascii="Times New Roman" w:hAnsi="Times New Roman" w:cs="Times New Roman"/>
          <w:sz w:val="28"/>
          <w:szCs w:val="28"/>
        </w:rPr>
        <w:t>(</w:t>
      </w:r>
      <w:r w:rsidR="00FD4CE9" w:rsidRPr="00C2212D">
        <w:rPr>
          <w:rFonts w:ascii="Times New Roman" w:hAnsi="Times New Roman" w:cs="Times New Roman"/>
          <w:i/>
          <w:sz w:val="28"/>
          <w:szCs w:val="28"/>
        </w:rPr>
        <w:t>5</w:t>
      </w:r>
      <w:r w:rsidR="002D35DD" w:rsidRPr="00C2212D">
        <w:rPr>
          <w:rFonts w:ascii="Times New Roman" w:hAnsi="Times New Roman" w:cs="Times New Roman"/>
          <w:i/>
          <w:sz w:val="28"/>
          <w:szCs w:val="28"/>
        </w:rPr>
        <w:t>0</w:t>
      </w:r>
      <w:r w:rsidR="003A778B" w:rsidRPr="00C2212D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3A778B" w:rsidRPr="00C2212D">
        <w:rPr>
          <w:rFonts w:ascii="Times New Roman" w:hAnsi="Times New Roman" w:cs="Times New Roman"/>
          <w:bCs/>
          <w:i/>
          <w:sz w:val="28"/>
          <w:szCs w:val="28"/>
        </w:rPr>
        <w:t>от общей суммы контрактов с единственным поставщиком</w:t>
      </w:r>
      <w:r w:rsidR="003A778B" w:rsidRPr="00C2212D">
        <w:rPr>
          <w:rFonts w:ascii="Times New Roman" w:hAnsi="Times New Roman" w:cs="Times New Roman"/>
          <w:sz w:val="28"/>
          <w:szCs w:val="28"/>
        </w:rPr>
        <w:t xml:space="preserve">) была заключена по пункту </w:t>
      </w:r>
      <w:r w:rsidR="00927C0E" w:rsidRPr="00C2212D">
        <w:rPr>
          <w:rFonts w:ascii="Times New Roman" w:hAnsi="Times New Roman" w:cs="Times New Roman"/>
          <w:sz w:val="28"/>
          <w:szCs w:val="28"/>
        </w:rPr>
        <w:br/>
      </w:r>
      <w:r w:rsidR="00302BE9" w:rsidRPr="00C2212D">
        <w:rPr>
          <w:rFonts w:ascii="Times New Roman" w:hAnsi="Times New Roman" w:cs="Times New Roman"/>
          <w:sz w:val="28"/>
          <w:szCs w:val="28"/>
        </w:rPr>
        <w:t xml:space="preserve">8 </w:t>
      </w:r>
      <w:r w:rsidR="00A974C0" w:rsidRPr="00C2212D">
        <w:rPr>
          <w:rFonts w:ascii="Times New Roman" w:hAnsi="Times New Roman" w:cs="Times New Roman"/>
          <w:sz w:val="28"/>
          <w:szCs w:val="28"/>
        </w:rPr>
        <w:t xml:space="preserve"> части 1 статьи 93 Закона о контрактной</w:t>
      </w:r>
      <w:r w:rsidR="00DD36F0" w:rsidRPr="00C2212D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302BE9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02BE9" w:rsidRPr="00C2212D">
        <w:rPr>
          <w:rFonts w:ascii="Times New Roman" w:hAnsi="Times New Roman" w:cs="Times New Roman"/>
          <w:i/>
          <w:sz w:val="28"/>
          <w:szCs w:val="28"/>
        </w:rPr>
        <w:t>«</w:t>
      </w:r>
      <w:r w:rsidR="0010137C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оказание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</w:t>
      </w:r>
      <w:proofErr w:type="gramEnd"/>
      <w:r w:rsidR="0010137C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регулируемым в соответствии с законодательством Российской Федерации ценам (тарифам), по хранению и ввозу (вывозу) наркотических средств и психотропных веществ»;</w:t>
      </w:r>
      <w:r w:rsidR="00A974C0" w:rsidRPr="00C22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088" w:rsidRDefault="002566B1" w:rsidP="00613955">
      <w:pPr>
        <w:widowControl/>
        <w:spacing w:line="312" w:lineRule="auto"/>
        <w:ind w:firstLine="539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– </w:t>
      </w:r>
      <w:r w:rsidR="002D35DD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940 </w:t>
      </w:r>
      <w:r w:rsidR="00302BE9" w:rsidRPr="00C2212D">
        <w:rPr>
          <w:rFonts w:ascii="Times New Roman" w:hAnsi="Times New Roman" w:cs="Times New Roman"/>
          <w:sz w:val="28"/>
          <w:szCs w:val="28"/>
        </w:rPr>
        <w:t>контрактов (</w:t>
      </w:r>
      <w:r w:rsidR="002D35DD" w:rsidRPr="00C2212D">
        <w:rPr>
          <w:rFonts w:ascii="Times New Roman" w:hAnsi="Times New Roman" w:cs="Times New Roman"/>
          <w:i/>
          <w:sz w:val="28"/>
          <w:szCs w:val="28"/>
        </w:rPr>
        <w:t>36</w:t>
      </w:r>
      <w:r w:rsidR="00531F27">
        <w:rPr>
          <w:rFonts w:ascii="Times New Roman" w:hAnsi="Times New Roman" w:cs="Times New Roman"/>
          <w:i/>
          <w:sz w:val="28"/>
          <w:szCs w:val="28"/>
        </w:rPr>
        <w:t> </w:t>
      </w:r>
      <w:r w:rsidR="00302BE9" w:rsidRPr="00C2212D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302BE9" w:rsidRPr="00C2212D">
        <w:rPr>
          <w:rFonts w:ascii="Times New Roman" w:hAnsi="Times New Roman" w:cs="Times New Roman"/>
          <w:bCs/>
          <w:i/>
          <w:sz w:val="28"/>
          <w:szCs w:val="28"/>
        </w:rPr>
        <w:t>от общего количества контрактов с единственным поставщиком</w:t>
      </w:r>
      <w:r w:rsidR="00302BE9" w:rsidRPr="00C2212D">
        <w:rPr>
          <w:rFonts w:ascii="Times New Roman" w:hAnsi="Times New Roman" w:cs="Times New Roman"/>
          <w:sz w:val="28"/>
          <w:szCs w:val="28"/>
        </w:rPr>
        <w:t xml:space="preserve">) с суммарной ценой </w:t>
      </w:r>
      <w:r w:rsidR="002D35DD" w:rsidRPr="00C2212D">
        <w:rPr>
          <w:rFonts w:ascii="Times New Roman" w:hAnsi="Times New Roman" w:cs="Times New Roman"/>
          <w:b/>
          <w:i/>
          <w:sz w:val="28"/>
          <w:szCs w:val="28"/>
        </w:rPr>
        <w:t>562,8</w:t>
      </w:r>
      <w:r w:rsidR="00302BE9" w:rsidRPr="00C2212D">
        <w:rPr>
          <w:rFonts w:ascii="Times New Roman" w:hAnsi="Times New Roman" w:cs="Times New Roman"/>
          <w:sz w:val="28"/>
          <w:szCs w:val="28"/>
        </w:rPr>
        <w:t xml:space="preserve">  млн. рублей (</w:t>
      </w:r>
      <w:r w:rsidR="002D35DD" w:rsidRPr="00531F27">
        <w:rPr>
          <w:rFonts w:ascii="Times New Roman" w:hAnsi="Times New Roman" w:cs="Times New Roman"/>
          <w:i/>
          <w:sz w:val="28"/>
          <w:szCs w:val="28"/>
        </w:rPr>
        <w:t>24</w:t>
      </w:r>
      <w:r w:rsidR="00302BE9" w:rsidRPr="00531F27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302BE9" w:rsidRPr="00531F27">
        <w:rPr>
          <w:rFonts w:ascii="Times New Roman" w:hAnsi="Times New Roman" w:cs="Times New Roman"/>
          <w:bCs/>
          <w:i/>
          <w:sz w:val="28"/>
          <w:szCs w:val="28"/>
        </w:rPr>
        <w:t>от общей суммы контрактов с единственным поставщиком</w:t>
      </w:r>
      <w:r w:rsidR="00302BE9" w:rsidRPr="00C2212D">
        <w:rPr>
          <w:rFonts w:ascii="Times New Roman" w:hAnsi="Times New Roman" w:cs="Times New Roman"/>
          <w:sz w:val="28"/>
          <w:szCs w:val="28"/>
        </w:rPr>
        <w:t xml:space="preserve">) была заключена по пункту 1  части 1 статьи 93 Закона о контрактной системе </w:t>
      </w:r>
      <w:r w:rsidR="00302BE9" w:rsidRPr="00C2212D">
        <w:rPr>
          <w:rFonts w:ascii="Times New Roman" w:hAnsi="Times New Roman" w:cs="Times New Roman"/>
          <w:i/>
          <w:sz w:val="28"/>
          <w:szCs w:val="28"/>
        </w:rPr>
        <w:t>«</w:t>
      </w:r>
      <w:r w:rsidR="0010137C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осуществление закупки товара, работы или услуги, которые относятся к сфере деятельности субъектов естественных монополий в соответствии с Федеральным </w:t>
      </w:r>
      <w:hyperlink r:id="rId20" w:history="1">
        <w:r w:rsidR="0010137C" w:rsidRPr="00C2212D">
          <w:rPr>
            <w:rFonts w:ascii="Times New Roman" w:eastAsiaTheme="minorHAnsi" w:hAnsi="Times New Roman" w:cs="Times New Roman"/>
            <w:i/>
            <w:sz w:val="28"/>
            <w:szCs w:val="28"/>
            <w:lang w:eastAsia="en-US"/>
          </w:rPr>
          <w:t>законом</w:t>
        </w:r>
      </w:hyperlink>
      <w:r w:rsidR="0010137C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от 17 августа 1995</w:t>
      </w:r>
      <w:proofErr w:type="gramEnd"/>
      <w:r w:rsidR="0010137C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года № 147-ФЗ «О естественных монополиях», а также услуг центрального депозитария»</w:t>
      </w:r>
      <w:r w:rsidR="00C3108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10137C" w:rsidRPr="00C2212D" w:rsidRDefault="002566B1" w:rsidP="00C31088">
      <w:pPr>
        <w:widowControl/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 </w:t>
      </w:r>
      <w:r w:rsidR="00C31088" w:rsidRPr="00531F2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412</w:t>
      </w:r>
      <w:r w:rsidR="00C31088" w:rsidRP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</w:t>
      </w:r>
      <w:r w:rsid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C31088" w:rsidRP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1088" w:rsidRPr="00C3108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(16</w:t>
      </w:r>
      <w:r w:rsidR="00531F2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</w:t>
      </w:r>
      <w:r w:rsidR="00C31088" w:rsidRPr="00C3108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% от общего количества контрактов с единственным поставщиком)</w:t>
      </w:r>
      <w:r w:rsidR="00C31088" w:rsidRP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суммарной ценой </w:t>
      </w:r>
      <w:r w:rsid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>612,3</w:t>
      </w:r>
      <w:r w:rsidR="00C31088" w:rsidRP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 </w:t>
      </w:r>
      <w:r w:rsidR="00C31088" w:rsidRPr="00C3108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(26% от общей суммы контрактов с единственным поставщиком)</w:t>
      </w:r>
      <w:r w:rsidR="00C31088" w:rsidRP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</w:t>
      </w:r>
      <w:r w:rsid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31088" w:rsidRP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</w:t>
      </w:r>
      <w:r w:rsid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C31088" w:rsidRP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1088" w:rsidRP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="00C31088" w:rsidRP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 пунктам</w:t>
      </w:r>
      <w:r w:rsidR="00C31088" w:rsidRP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части 1 статьи 93 Закона о контрактной системе</w:t>
      </w:r>
      <w:r w:rsidR="00C3108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137C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60A55" w:rsidRPr="00C2212D" w:rsidRDefault="00803561" w:rsidP="00613955">
      <w:pPr>
        <w:spacing w:line="312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C2212D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заключенных  контрактов </w:t>
      </w:r>
      <w:r w:rsidRPr="00C2212D">
        <w:rPr>
          <w:rFonts w:ascii="Times New Roman" w:hAnsi="Times New Roman" w:cs="Times New Roman"/>
          <w:bCs/>
          <w:sz w:val="28"/>
          <w:szCs w:val="28"/>
        </w:rPr>
        <w:t>по количеству</w:t>
      </w:r>
      <w:r w:rsidR="00FC2899" w:rsidRPr="00C2212D">
        <w:rPr>
          <w:rFonts w:ascii="Times New Roman" w:hAnsi="Times New Roman" w:cs="Times New Roman"/>
          <w:bCs/>
          <w:sz w:val="28"/>
          <w:szCs w:val="28"/>
        </w:rPr>
        <w:t xml:space="preserve"> – всего </w:t>
      </w:r>
      <w:r w:rsidR="00FC2899" w:rsidRPr="00C2212D">
        <w:rPr>
          <w:rFonts w:ascii="Times New Roman" w:hAnsi="Times New Roman" w:cs="Times New Roman"/>
          <w:b/>
          <w:bCs/>
          <w:i/>
          <w:sz w:val="28"/>
          <w:szCs w:val="28"/>
        </w:rPr>
        <w:t>18 125</w:t>
      </w:r>
      <w:r w:rsidR="00FC2899" w:rsidRPr="00C2212D">
        <w:rPr>
          <w:rFonts w:ascii="Times New Roman" w:hAnsi="Times New Roman" w:cs="Times New Roman"/>
          <w:bCs/>
          <w:sz w:val="28"/>
          <w:szCs w:val="28"/>
        </w:rPr>
        <w:t xml:space="preserve"> контрактов</w:t>
      </w:r>
      <w:r w:rsidR="00560A55" w:rsidRPr="00C2212D">
        <w:rPr>
          <w:rFonts w:ascii="Times New Roman" w:hAnsi="Times New Roman" w:cs="Times New Roman"/>
          <w:bCs/>
          <w:sz w:val="28"/>
          <w:szCs w:val="28"/>
        </w:rPr>
        <w:t>:</w:t>
      </w:r>
      <w:r w:rsidR="009F2390" w:rsidRPr="00C2212D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560A55" w:rsidRPr="00C2212D" w:rsidRDefault="00061316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03561" w:rsidRPr="00C22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265" w:rsidRPr="00C2212D">
        <w:rPr>
          <w:rFonts w:ascii="Times New Roman" w:hAnsi="Times New Roman" w:cs="Times New Roman"/>
          <w:b/>
          <w:bCs/>
          <w:i/>
          <w:sz w:val="28"/>
          <w:szCs w:val="28"/>
        </w:rPr>
        <w:t>13 365</w:t>
      </w:r>
      <w:r w:rsidR="00424B96" w:rsidRPr="00C22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bCs/>
          <w:sz w:val="28"/>
          <w:szCs w:val="28"/>
        </w:rPr>
        <w:t xml:space="preserve"> контракт</w:t>
      </w:r>
      <w:r w:rsidR="00C31088">
        <w:rPr>
          <w:rFonts w:ascii="Times New Roman" w:hAnsi="Times New Roman" w:cs="Times New Roman"/>
          <w:bCs/>
          <w:sz w:val="28"/>
          <w:szCs w:val="28"/>
        </w:rPr>
        <w:t>ов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, или  </w:t>
      </w:r>
      <w:r w:rsidR="000A7E7B" w:rsidRPr="00C2212D">
        <w:rPr>
          <w:rFonts w:ascii="Times New Roman" w:hAnsi="Times New Roman" w:cs="Times New Roman"/>
          <w:b/>
          <w:i/>
          <w:sz w:val="28"/>
          <w:szCs w:val="28"/>
        </w:rPr>
        <w:t>74</w:t>
      </w:r>
      <w:r w:rsidR="00531F2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803561" w:rsidRPr="00C2212D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от общего количества  контрактов</w:t>
      </w:r>
      <w:r w:rsidR="006B5FD6" w:rsidRPr="00C2212D">
        <w:rPr>
          <w:rFonts w:ascii="Times New Roman" w:hAnsi="Times New Roman" w:cs="Times New Roman"/>
          <w:sz w:val="28"/>
          <w:szCs w:val="28"/>
        </w:rPr>
        <w:t>,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 заключено </w:t>
      </w:r>
      <w:r w:rsidR="00547EF4" w:rsidRPr="00C2212D">
        <w:rPr>
          <w:rFonts w:ascii="Times New Roman" w:hAnsi="Times New Roman" w:cs="Times New Roman"/>
          <w:sz w:val="28"/>
          <w:szCs w:val="28"/>
        </w:rPr>
        <w:t>по результатам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 п</w:t>
      </w:r>
      <w:r w:rsidR="00560A55" w:rsidRPr="00C2212D">
        <w:rPr>
          <w:rFonts w:ascii="Times New Roman" w:hAnsi="Times New Roman" w:cs="Times New Roman"/>
          <w:sz w:val="28"/>
          <w:szCs w:val="28"/>
        </w:rPr>
        <w:t>роведения электронного аукциона;</w:t>
      </w:r>
    </w:p>
    <w:p w:rsidR="00560A55" w:rsidRPr="00C2212D" w:rsidRDefault="00560A55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b/>
          <w:sz w:val="28"/>
          <w:szCs w:val="28"/>
        </w:rPr>
        <w:t>-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1E2265" w:rsidRPr="00C2212D">
        <w:rPr>
          <w:rFonts w:ascii="Times New Roman" w:hAnsi="Times New Roman" w:cs="Times New Roman"/>
          <w:b/>
          <w:i/>
          <w:sz w:val="28"/>
          <w:szCs w:val="28"/>
        </w:rPr>
        <w:t>2 043</w:t>
      </w:r>
      <w:r w:rsidR="005B656E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4B96" w:rsidRPr="00C2212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31088">
        <w:rPr>
          <w:rFonts w:ascii="Times New Roman" w:hAnsi="Times New Roman" w:cs="Times New Roman"/>
          <w:sz w:val="28"/>
          <w:szCs w:val="28"/>
        </w:rPr>
        <w:t>а</w:t>
      </w:r>
      <w:r w:rsidR="00424B96" w:rsidRPr="00C2212D">
        <w:rPr>
          <w:rFonts w:ascii="Times New Roman" w:hAnsi="Times New Roman" w:cs="Times New Roman"/>
          <w:sz w:val="28"/>
          <w:szCs w:val="28"/>
        </w:rPr>
        <w:t xml:space="preserve"> 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или </w:t>
      </w:r>
      <w:r w:rsidR="000A7E7B" w:rsidRPr="00C2212D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531F2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803561" w:rsidRPr="00C2212D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– </w:t>
      </w:r>
      <w:r w:rsidR="00547EF4" w:rsidRPr="00C2212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о</w:t>
      </w:r>
      <w:r w:rsidRPr="00C2212D">
        <w:rPr>
          <w:rFonts w:ascii="Times New Roman" w:hAnsi="Times New Roman" w:cs="Times New Roman"/>
          <w:sz w:val="28"/>
          <w:szCs w:val="28"/>
        </w:rPr>
        <w:t>существления  запроса котировок;</w:t>
      </w:r>
    </w:p>
    <w:p w:rsidR="00560A55" w:rsidRPr="00C2212D" w:rsidRDefault="00560A55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1E2265" w:rsidRPr="00C2212D">
        <w:rPr>
          <w:rFonts w:ascii="Times New Roman" w:hAnsi="Times New Roman" w:cs="Times New Roman"/>
          <w:b/>
          <w:i/>
          <w:sz w:val="28"/>
          <w:szCs w:val="28"/>
        </w:rPr>
        <w:t>118</w:t>
      </w:r>
      <w:r w:rsidR="00CF7E11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4B96" w:rsidRPr="00C2212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31088">
        <w:rPr>
          <w:rFonts w:ascii="Times New Roman" w:hAnsi="Times New Roman" w:cs="Times New Roman"/>
          <w:sz w:val="28"/>
          <w:szCs w:val="28"/>
        </w:rPr>
        <w:t>ов</w:t>
      </w:r>
      <w:r w:rsidR="00424B96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или </w:t>
      </w:r>
      <w:r w:rsidR="00CF7E11" w:rsidRPr="00C2212D">
        <w:rPr>
          <w:rFonts w:ascii="Times New Roman" w:hAnsi="Times New Roman" w:cs="Times New Roman"/>
          <w:b/>
          <w:i/>
          <w:sz w:val="28"/>
          <w:szCs w:val="28"/>
        </w:rPr>
        <w:t>0,6</w:t>
      </w:r>
      <w:r w:rsidR="00424B96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6215" w:rsidRPr="00C2212D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– </w:t>
      </w:r>
      <w:r w:rsidR="00547EF4" w:rsidRPr="00C2212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C2212D">
        <w:rPr>
          <w:rFonts w:ascii="Times New Roman" w:hAnsi="Times New Roman" w:cs="Times New Roman"/>
          <w:sz w:val="28"/>
          <w:szCs w:val="28"/>
        </w:rPr>
        <w:t>проведения конкурсов;</w:t>
      </w:r>
    </w:p>
    <w:p w:rsidR="00560A55" w:rsidRPr="00C2212D" w:rsidRDefault="00424B96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b/>
          <w:sz w:val="28"/>
          <w:szCs w:val="28"/>
        </w:rPr>
        <w:t>-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1E2265" w:rsidRPr="00C2212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B656E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>контракт</w:t>
      </w:r>
      <w:r w:rsidR="00CF7E11" w:rsidRPr="00C2212D">
        <w:rPr>
          <w:rFonts w:ascii="Times New Roman" w:hAnsi="Times New Roman" w:cs="Times New Roman"/>
          <w:sz w:val="28"/>
          <w:szCs w:val="28"/>
        </w:rPr>
        <w:t xml:space="preserve">ов 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547EF4" w:rsidRPr="00C2212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03561" w:rsidRPr="00C2212D">
        <w:rPr>
          <w:rFonts w:ascii="Times New Roman" w:hAnsi="Times New Roman" w:cs="Times New Roman"/>
          <w:sz w:val="28"/>
          <w:szCs w:val="28"/>
        </w:rPr>
        <w:t>ос</w:t>
      </w:r>
      <w:r w:rsidR="00560A55" w:rsidRPr="00C2212D">
        <w:rPr>
          <w:rFonts w:ascii="Times New Roman" w:hAnsi="Times New Roman" w:cs="Times New Roman"/>
          <w:sz w:val="28"/>
          <w:szCs w:val="28"/>
        </w:rPr>
        <w:t>уществления запроса предложений;</w:t>
      </w:r>
    </w:p>
    <w:p w:rsidR="00803561" w:rsidRDefault="00DD7742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169FED" wp14:editId="56021459">
                <wp:simplePos x="0" y="0"/>
                <wp:positionH relativeFrom="column">
                  <wp:posOffset>2013585</wp:posOffset>
                </wp:positionH>
                <wp:positionV relativeFrom="paragraph">
                  <wp:posOffset>301625</wp:posOffset>
                </wp:positionV>
                <wp:extent cx="2362200" cy="209550"/>
                <wp:effectExtent l="0" t="0" r="0" b="0"/>
                <wp:wrapSquare wrapText="bothSides"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2D3D" w:rsidRPr="00E04DD8" w:rsidRDefault="00C62D3D" w:rsidP="00DD7742">
                            <w:pPr>
                              <w:pStyle w:val="af"/>
                              <w:ind w:firstLine="0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04DD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количеству</w:t>
                            </w:r>
                            <w:r w:rsidRPr="00E04DD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извещений (шт.)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158.55pt;margin-top:23.75pt;width:186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" stroked="f">
                <v:textbox inset="0,0,0,0">
                  <w:txbxContent>
                    <w:p w:rsidR="00C62D3D" w:rsidRPr="00E04DD8" w:rsidRDefault="00C62D3D" w:rsidP="00DD7742">
                      <w:pPr>
                        <w:pStyle w:val="af"/>
                        <w:ind w:firstLine="0"/>
                        <w:rPr>
                          <w:rFonts w:ascii="Times New Roman" w:hAnsi="Times New Roman" w:cs="Times New Roman"/>
                          <w:i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E04DD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количеству</w:t>
                      </w:r>
                      <w:r w:rsidRPr="00E04DD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извещений (шт.)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088" w:rsidRPr="00C2212D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B0ECE23" wp14:editId="620709FA">
            <wp:simplePos x="0" y="0"/>
            <wp:positionH relativeFrom="column">
              <wp:posOffset>-190500</wp:posOffset>
            </wp:positionH>
            <wp:positionV relativeFrom="paragraph">
              <wp:posOffset>394970</wp:posOffset>
            </wp:positionV>
            <wp:extent cx="6257925" cy="3162300"/>
            <wp:effectExtent l="0" t="0" r="0" b="0"/>
            <wp:wrapSquare wrapText="bothSides"/>
            <wp:docPr id="4" name="Диаграмма 4" title="вапвапывпы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55" w:rsidRPr="00C2212D">
        <w:rPr>
          <w:rFonts w:ascii="Times New Roman" w:hAnsi="Times New Roman" w:cs="Times New Roman"/>
          <w:b/>
          <w:sz w:val="28"/>
          <w:szCs w:val="28"/>
        </w:rPr>
        <w:t>-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1E2265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2 594 </w:t>
      </w:r>
      <w:r w:rsidR="00424B96" w:rsidRPr="00C2212D"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или </w:t>
      </w:r>
      <w:r w:rsidR="000A7E7B" w:rsidRPr="00C2212D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424B96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- закупки у единственного поставщика.</w:t>
      </w:r>
    </w:p>
    <w:p w:rsidR="00DD7742" w:rsidRPr="00C2212D" w:rsidRDefault="00DD7742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C31088" w:rsidRDefault="00C31088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DD7742" w:rsidRDefault="00DD7742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AE0062" w:rsidRPr="00C2212D" w:rsidRDefault="00803561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Анализ</w:t>
      </w:r>
      <w:r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заключенных  контрактов</w:t>
      </w:r>
      <w:r w:rsidRPr="00C2212D">
        <w:rPr>
          <w:rFonts w:ascii="Times New Roman" w:hAnsi="Times New Roman" w:cs="Times New Roman"/>
          <w:sz w:val="28"/>
          <w:szCs w:val="28"/>
        </w:rPr>
        <w:t xml:space="preserve"> по сумме закупок – </w:t>
      </w:r>
      <w:r w:rsidR="00FC2899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22 043,55 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E101F9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Pr="00C2212D">
        <w:rPr>
          <w:rFonts w:ascii="Times New Roman" w:hAnsi="Times New Roman" w:cs="Times New Roman"/>
          <w:sz w:val="28"/>
          <w:szCs w:val="28"/>
        </w:rPr>
        <w:t>, из них</w:t>
      </w:r>
      <w:r w:rsidR="00AE0062" w:rsidRPr="00C2212D">
        <w:rPr>
          <w:rFonts w:ascii="Times New Roman" w:hAnsi="Times New Roman" w:cs="Times New Roman"/>
          <w:sz w:val="28"/>
          <w:szCs w:val="28"/>
        </w:rPr>
        <w:t>:</w:t>
      </w:r>
    </w:p>
    <w:p w:rsidR="004352E8" w:rsidRPr="00C2212D" w:rsidRDefault="00AE0062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b/>
          <w:sz w:val="28"/>
          <w:szCs w:val="28"/>
        </w:rPr>
        <w:t>-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н</w:t>
      </w:r>
      <w:r w:rsidR="00A921F4" w:rsidRPr="00C2212D">
        <w:rPr>
          <w:rFonts w:ascii="Times New Roman" w:hAnsi="Times New Roman" w:cs="Times New Roman"/>
          <w:sz w:val="28"/>
          <w:szCs w:val="28"/>
        </w:rPr>
        <w:t>а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сумму  </w:t>
      </w:r>
      <w:r w:rsidR="00EB5B10" w:rsidRPr="00C2212D">
        <w:rPr>
          <w:rFonts w:ascii="Times New Roman" w:hAnsi="Times New Roman" w:cs="Times New Roman"/>
          <w:b/>
          <w:i/>
          <w:sz w:val="28"/>
          <w:szCs w:val="28"/>
        </w:rPr>
        <w:t>19 190,11</w:t>
      </w:r>
      <w:r w:rsidR="00052E00" w:rsidRPr="00C2212D">
        <w:rPr>
          <w:rFonts w:ascii="Times New Roman" w:hAnsi="Times New Roman" w:cs="Times New Roman"/>
          <w:sz w:val="28"/>
          <w:szCs w:val="28"/>
        </w:rPr>
        <w:t xml:space="preserve"> 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654DB2" w:rsidRPr="00C2212D">
        <w:rPr>
          <w:rFonts w:ascii="Times New Roman" w:hAnsi="Times New Roman" w:cs="Times New Roman"/>
          <w:b/>
          <w:i/>
          <w:sz w:val="28"/>
          <w:szCs w:val="28"/>
        </w:rPr>
        <w:t>88,6</w:t>
      </w:r>
      <w:r w:rsidR="00803561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от общей суммы заключенных контрактов  заключено </w:t>
      </w:r>
      <w:r w:rsidR="00547EF4" w:rsidRPr="00C2212D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803561" w:rsidRPr="00C2212D">
        <w:rPr>
          <w:rFonts w:ascii="Times New Roman" w:hAnsi="Times New Roman" w:cs="Times New Roman"/>
          <w:sz w:val="28"/>
          <w:szCs w:val="28"/>
        </w:rPr>
        <w:t>п</w:t>
      </w:r>
      <w:r w:rsidRPr="00C2212D">
        <w:rPr>
          <w:rFonts w:ascii="Times New Roman" w:hAnsi="Times New Roman" w:cs="Times New Roman"/>
          <w:sz w:val="28"/>
          <w:szCs w:val="28"/>
        </w:rPr>
        <w:t>роведения электронного аукциона</w:t>
      </w:r>
      <w:r w:rsidR="004352E8" w:rsidRPr="00C2212D">
        <w:rPr>
          <w:rFonts w:ascii="Times New Roman" w:hAnsi="Times New Roman" w:cs="Times New Roman"/>
          <w:sz w:val="28"/>
          <w:szCs w:val="28"/>
        </w:rPr>
        <w:t>;</w:t>
      </w:r>
    </w:p>
    <w:p w:rsidR="00AE0062" w:rsidRPr="00C2212D" w:rsidRDefault="00AE0062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b/>
          <w:sz w:val="28"/>
          <w:szCs w:val="28"/>
        </w:rPr>
        <w:t>-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B5B10" w:rsidRPr="00C2212D">
        <w:rPr>
          <w:rFonts w:ascii="Times New Roman" w:hAnsi="Times New Roman" w:cs="Times New Roman"/>
          <w:b/>
          <w:i/>
          <w:sz w:val="28"/>
          <w:szCs w:val="28"/>
        </w:rPr>
        <w:t>220,7</w:t>
      </w:r>
      <w:r w:rsidR="00B658FE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млн. рублей  </w:t>
      </w:r>
      <w:r w:rsidR="006B6577" w:rsidRPr="00C2212D">
        <w:rPr>
          <w:rFonts w:ascii="Times New Roman" w:hAnsi="Times New Roman" w:cs="Times New Roman"/>
          <w:sz w:val="28"/>
          <w:szCs w:val="28"/>
        </w:rPr>
        <w:t xml:space="preserve">или </w:t>
      </w:r>
      <w:r w:rsidR="00654DB2" w:rsidRPr="00C2212D">
        <w:rPr>
          <w:rFonts w:ascii="Times New Roman" w:hAnsi="Times New Roman" w:cs="Times New Roman"/>
          <w:b/>
          <w:i/>
          <w:sz w:val="28"/>
          <w:szCs w:val="28"/>
        </w:rPr>
        <w:t>0,75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% – </w:t>
      </w:r>
      <w:r w:rsidR="00547EF4" w:rsidRPr="00C2212D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осуществления  запроса котировок</w:t>
      </w:r>
      <w:r w:rsidRPr="00C2212D">
        <w:rPr>
          <w:rFonts w:ascii="Times New Roman" w:hAnsi="Times New Roman" w:cs="Times New Roman"/>
          <w:sz w:val="28"/>
          <w:szCs w:val="28"/>
        </w:rPr>
        <w:t>;</w:t>
      </w:r>
    </w:p>
    <w:p w:rsidR="00AE0062" w:rsidRDefault="00AE0062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b/>
          <w:sz w:val="28"/>
          <w:szCs w:val="28"/>
        </w:rPr>
        <w:t>-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B658FE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EB5B10" w:rsidRPr="00C2212D">
        <w:rPr>
          <w:rFonts w:ascii="Times New Roman" w:hAnsi="Times New Roman" w:cs="Times New Roman"/>
          <w:b/>
          <w:i/>
          <w:sz w:val="28"/>
          <w:szCs w:val="28"/>
        </w:rPr>
        <w:t>273,56</w:t>
      </w:r>
      <w:r w:rsidR="00B658FE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млн. рублей  или </w:t>
      </w:r>
      <w:r w:rsidR="00654DB2" w:rsidRPr="00C2212D">
        <w:rPr>
          <w:rFonts w:ascii="Times New Roman" w:hAnsi="Times New Roman" w:cs="Times New Roman"/>
          <w:b/>
          <w:i/>
          <w:sz w:val="28"/>
          <w:szCs w:val="28"/>
        </w:rPr>
        <w:t>1,2</w:t>
      </w:r>
      <w:r w:rsidR="00052E00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процента – </w:t>
      </w:r>
      <w:r w:rsidR="00547EF4" w:rsidRPr="00C2212D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803561" w:rsidRPr="00C2212D">
        <w:rPr>
          <w:rFonts w:ascii="Times New Roman" w:hAnsi="Times New Roman" w:cs="Times New Roman"/>
          <w:sz w:val="28"/>
          <w:szCs w:val="28"/>
        </w:rPr>
        <w:t>проведения конкурсов</w:t>
      </w:r>
      <w:r w:rsidRPr="00C2212D">
        <w:rPr>
          <w:rFonts w:ascii="Times New Roman" w:hAnsi="Times New Roman" w:cs="Times New Roman"/>
          <w:sz w:val="28"/>
          <w:szCs w:val="28"/>
        </w:rPr>
        <w:t>;</w:t>
      </w:r>
    </w:p>
    <w:p w:rsidR="00AE0062" w:rsidRPr="00C2212D" w:rsidRDefault="00AE0062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b/>
          <w:sz w:val="28"/>
          <w:szCs w:val="28"/>
        </w:rPr>
        <w:t>-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EB5B10" w:rsidRPr="00C2212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052E0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052E0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654DB2" w:rsidRPr="00C2212D">
        <w:rPr>
          <w:rFonts w:ascii="Times New Roman" w:hAnsi="Times New Roman" w:cs="Times New Roman"/>
          <w:sz w:val="28"/>
          <w:szCs w:val="28"/>
        </w:rPr>
        <w:t xml:space="preserve"> или </w:t>
      </w:r>
      <w:r w:rsidR="00654DB2" w:rsidRPr="00C2212D">
        <w:rPr>
          <w:rFonts w:ascii="Times New Roman" w:hAnsi="Times New Roman" w:cs="Times New Roman"/>
          <w:b/>
          <w:i/>
          <w:sz w:val="28"/>
          <w:szCs w:val="28"/>
        </w:rPr>
        <w:t>2,97 %</w:t>
      </w:r>
      <w:r w:rsidR="00654DB2" w:rsidRPr="00C2212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– </w:t>
      </w:r>
      <w:r w:rsidR="00547EF4" w:rsidRPr="00C2212D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803561" w:rsidRPr="00C2212D">
        <w:rPr>
          <w:rFonts w:ascii="Times New Roman" w:hAnsi="Times New Roman" w:cs="Times New Roman"/>
          <w:sz w:val="28"/>
          <w:szCs w:val="28"/>
        </w:rPr>
        <w:t>осуществления запроса предложений</w:t>
      </w:r>
      <w:r w:rsidRPr="00C2212D">
        <w:rPr>
          <w:rFonts w:ascii="Times New Roman" w:hAnsi="Times New Roman" w:cs="Times New Roman"/>
          <w:sz w:val="28"/>
          <w:szCs w:val="28"/>
        </w:rPr>
        <w:t>;</w:t>
      </w:r>
    </w:p>
    <w:p w:rsidR="00803561" w:rsidRPr="00C2212D" w:rsidRDefault="00AE0062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b/>
          <w:sz w:val="28"/>
          <w:szCs w:val="28"/>
        </w:rPr>
        <w:t>-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EB5B10" w:rsidRPr="00C2212D">
        <w:rPr>
          <w:rFonts w:ascii="Times New Roman" w:hAnsi="Times New Roman" w:cs="Times New Roman"/>
          <w:b/>
          <w:i/>
          <w:sz w:val="28"/>
          <w:szCs w:val="28"/>
        </w:rPr>
        <w:t>2 353,68</w:t>
      </w:r>
      <w:r w:rsidR="00052E00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млн. рублей  или </w:t>
      </w:r>
      <w:r w:rsidR="00654DB2" w:rsidRPr="00C2212D">
        <w:rPr>
          <w:rFonts w:ascii="Times New Roman" w:hAnsi="Times New Roman" w:cs="Times New Roman"/>
          <w:b/>
          <w:i/>
          <w:sz w:val="28"/>
          <w:szCs w:val="28"/>
        </w:rPr>
        <w:t>6,48</w:t>
      </w:r>
      <w:r w:rsidR="00052E00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3561" w:rsidRPr="00C2212D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803561" w:rsidRPr="00C2212D">
        <w:rPr>
          <w:rFonts w:ascii="Times New Roman" w:hAnsi="Times New Roman" w:cs="Times New Roman"/>
          <w:sz w:val="28"/>
          <w:szCs w:val="28"/>
        </w:rPr>
        <w:t xml:space="preserve"> - закупки у единственного поставщика.</w:t>
      </w:r>
      <w:r w:rsidR="00DD7742" w:rsidRPr="00DD7742">
        <w:rPr>
          <w:noProof/>
        </w:rPr>
        <w:t xml:space="preserve"> </w:t>
      </w:r>
    </w:p>
    <w:p w:rsidR="00C31088" w:rsidRDefault="00C31088" w:rsidP="004F5C10">
      <w:pPr>
        <w:tabs>
          <w:tab w:val="left" w:pos="7383"/>
        </w:tabs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7742" w:rsidRDefault="00DD7742" w:rsidP="004F5C10">
      <w:pPr>
        <w:tabs>
          <w:tab w:val="left" w:pos="7383"/>
        </w:tabs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4C90" w:rsidRPr="00C2212D" w:rsidRDefault="00DD7742" w:rsidP="004F5C10">
      <w:pPr>
        <w:tabs>
          <w:tab w:val="left" w:pos="7383"/>
        </w:tabs>
        <w:spacing w:line="312" w:lineRule="auto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12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8FAA3D" wp14:editId="6582B608">
                <wp:simplePos x="0" y="0"/>
                <wp:positionH relativeFrom="column">
                  <wp:posOffset>1637665</wp:posOffset>
                </wp:positionH>
                <wp:positionV relativeFrom="paragraph">
                  <wp:posOffset>-105410</wp:posOffset>
                </wp:positionV>
                <wp:extent cx="2962275" cy="209550"/>
                <wp:effectExtent l="0" t="0" r="9525" b="0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2D3D" w:rsidRPr="00E04DD8" w:rsidRDefault="00C62D3D" w:rsidP="00DD7742">
                            <w:pPr>
                              <w:pStyle w:val="af"/>
                              <w:ind w:firstLine="0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D7742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По сумме НМЦК (млн. рублей.) </w:t>
                            </w:r>
                            <w:r w:rsidRPr="00E04DD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(шт.)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128.95pt;margin-top:-8.3pt;width:233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" stroked="f">
                <v:textbox inset="0,0,0,0">
                  <w:txbxContent>
                    <w:p w:rsidR="00C62D3D" w:rsidRPr="00E04DD8" w:rsidRDefault="00C62D3D" w:rsidP="00DD7742">
                      <w:pPr>
                        <w:pStyle w:val="af"/>
                        <w:ind w:firstLine="0"/>
                        <w:rPr>
                          <w:rFonts w:ascii="Times New Roman" w:hAnsi="Times New Roman" w:cs="Times New Roman"/>
                          <w:i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DD7742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По сумме НМЦК (млн. рублей.) </w:t>
                      </w:r>
                      <w:r w:rsidRPr="00E04DD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(шт.)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212D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845946E" wp14:editId="305C11DC">
            <wp:simplePos x="0" y="0"/>
            <wp:positionH relativeFrom="column">
              <wp:posOffset>-114300</wp:posOffset>
            </wp:positionH>
            <wp:positionV relativeFrom="paragraph">
              <wp:posOffset>107315</wp:posOffset>
            </wp:positionV>
            <wp:extent cx="6257925" cy="2876550"/>
            <wp:effectExtent l="0" t="0" r="0" b="0"/>
            <wp:wrapSquare wrapText="bothSides"/>
            <wp:docPr id="6" name="Диаграмма 6" title="вапвапывпы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Наибольшие объемы по сумме  заключенных контрактов </w:t>
      </w:r>
      <w:r w:rsidR="0039778E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итогам </w:t>
      </w:r>
      <w:r w:rsidR="00E34B13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первого полугодия 2018</w:t>
      </w:r>
      <w:r w:rsidR="0039778E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E34B13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государственными </w:t>
      </w:r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заказчиками Свердловской области </w:t>
      </w:r>
      <w:r w:rsidR="0039778E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осуществлялись в сфере </w:t>
      </w:r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строительства автомобильных дорог и возведения зданий - </w:t>
      </w:r>
      <w:r w:rsidR="00930621" w:rsidRPr="00C221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5 818,6</w:t>
      </w:r>
      <w:r w:rsidR="004F5C10" w:rsidRPr="00C221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млн. рублей </w:t>
      </w:r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4F5C10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более </w:t>
      </w:r>
      <w:r w:rsidR="00930621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26</w:t>
      </w:r>
      <w:r w:rsidR="004F5C10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% от общего объема заключенных контрактов</w:t>
      </w:r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услуги по предоставлению кредитов финансовыми организациями юридическим лицам – </w:t>
      </w:r>
      <w:r w:rsidR="00930621" w:rsidRPr="00C221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3 426,1</w:t>
      </w:r>
      <w:r w:rsidR="004F5C10" w:rsidRPr="00C221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млн. рублей</w:t>
      </w:r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930621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более 15 </w:t>
      </w:r>
      <w:r w:rsidR="004F5C10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%</w:t>
      </w:r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5C10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от общего объема заключенных контрактов</w:t>
      </w:r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>), для медицинских целей, в том</w:t>
      </w:r>
      <w:proofErr w:type="gramEnd"/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</w:t>
      </w:r>
      <w:proofErr w:type="gramEnd"/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закупки лекарственных препаратов и</w:t>
      </w:r>
      <w:r w:rsidR="00930621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медицинского</w:t>
      </w:r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оборудования – </w:t>
      </w:r>
      <w:r w:rsidR="00930621" w:rsidRPr="00C221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4 034,74</w:t>
      </w:r>
      <w:r w:rsidR="004F5C10" w:rsidRPr="00C221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млн. рублей</w:t>
      </w:r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930621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4F5C10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%</w:t>
      </w:r>
      <w:r w:rsidR="004F5C10" w:rsidRPr="00C2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F5C10" w:rsidRPr="00C2212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от общего объема заключенных контрактов).</w:t>
      </w:r>
    </w:p>
    <w:p w:rsidR="0039778E" w:rsidRPr="00C2212D" w:rsidRDefault="0039778E" w:rsidP="00F74C90">
      <w:pPr>
        <w:tabs>
          <w:tab w:val="left" w:pos="7383"/>
        </w:tabs>
        <w:spacing w:line="312" w:lineRule="auto"/>
        <w:ind w:firstLine="539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6717" w:rsidRPr="00C2212D" w:rsidRDefault="00AD6717" w:rsidP="00613955">
      <w:pPr>
        <w:tabs>
          <w:tab w:val="left" w:pos="7383"/>
        </w:tabs>
        <w:spacing w:line="312" w:lineRule="auto"/>
        <w:ind w:firstLine="53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221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Раздел </w:t>
      </w:r>
      <w:r w:rsidR="00851A9D" w:rsidRPr="00C221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6.</w:t>
      </w:r>
      <w:r w:rsidRPr="00C221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Анализ сведений о расторгнутых контрактах</w:t>
      </w:r>
    </w:p>
    <w:p w:rsidR="00877F7A" w:rsidRPr="00C2212D" w:rsidRDefault="00877F7A" w:rsidP="00613955">
      <w:pPr>
        <w:tabs>
          <w:tab w:val="left" w:pos="7383"/>
        </w:tabs>
        <w:spacing w:line="312" w:lineRule="auto"/>
        <w:ind w:firstLine="53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0C789F" w:rsidRPr="00C2212D" w:rsidRDefault="00AD6717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7831C9" w:rsidRPr="00C2212D">
        <w:rPr>
          <w:rFonts w:ascii="Times New Roman" w:hAnsi="Times New Roman" w:cs="Times New Roman"/>
          <w:sz w:val="28"/>
          <w:szCs w:val="28"/>
        </w:rPr>
        <w:t>первом полугодии 2018</w:t>
      </w:r>
      <w:r w:rsidRPr="00C2212D">
        <w:rPr>
          <w:rFonts w:ascii="Times New Roman" w:hAnsi="Times New Roman" w:cs="Times New Roman"/>
          <w:sz w:val="28"/>
          <w:szCs w:val="28"/>
        </w:rPr>
        <w:t xml:space="preserve"> год</w:t>
      </w:r>
      <w:r w:rsidR="007831C9" w:rsidRPr="00C2212D">
        <w:rPr>
          <w:rFonts w:ascii="Times New Roman" w:hAnsi="Times New Roman" w:cs="Times New Roman"/>
          <w:sz w:val="28"/>
          <w:szCs w:val="28"/>
        </w:rPr>
        <w:t>а</w:t>
      </w:r>
      <w:r w:rsidRPr="00C2212D">
        <w:rPr>
          <w:rFonts w:ascii="Times New Roman" w:hAnsi="Times New Roman" w:cs="Times New Roman"/>
          <w:sz w:val="28"/>
          <w:szCs w:val="28"/>
        </w:rPr>
        <w:t xml:space="preserve"> было расторгнуто </w:t>
      </w:r>
      <w:r w:rsidR="000C789F" w:rsidRPr="00C2212D">
        <w:rPr>
          <w:rFonts w:ascii="Times New Roman" w:hAnsi="Times New Roman" w:cs="Times New Roman"/>
          <w:b/>
          <w:i/>
          <w:sz w:val="28"/>
          <w:szCs w:val="28"/>
        </w:rPr>
        <w:t>517</w:t>
      </w:r>
      <w:r w:rsidRPr="00C2212D">
        <w:rPr>
          <w:rFonts w:ascii="Times New Roman" w:hAnsi="Times New Roman" w:cs="Times New Roman"/>
          <w:sz w:val="28"/>
          <w:szCs w:val="28"/>
        </w:rPr>
        <w:t xml:space="preserve">  контракт</w:t>
      </w:r>
      <w:r w:rsidR="000C789F" w:rsidRPr="00C2212D">
        <w:rPr>
          <w:rFonts w:ascii="Times New Roman" w:hAnsi="Times New Roman" w:cs="Times New Roman"/>
          <w:sz w:val="28"/>
          <w:szCs w:val="28"/>
        </w:rPr>
        <w:t>ов (</w:t>
      </w:r>
      <w:r w:rsidR="002566B1">
        <w:rPr>
          <w:rFonts w:ascii="Times New Roman" w:hAnsi="Times New Roman" w:cs="Times New Roman"/>
          <w:sz w:val="28"/>
          <w:szCs w:val="28"/>
        </w:rPr>
        <w:t xml:space="preserve">по которым размещены </w:t>
      </w:r>
      <w:proofErr w:type="gramStart"/>
      <w:r w:rsidR="002566B1">
        <w:rPr>
          <w:rFonts w:ascii="Times New Roman" w:hAnsi="Times New Roman" w:cs="Times New Roman"/>
          <w:sz w:val="28"/>
          <w:szCs w:val="28"/>
        </w:rPr>
        <w:t>извещения</w:t>
      </w:r>
      <w:proofErr w:type="gramEnd"/>
      <w:r w:rsidR="002566B1">
        <w:rPr>
          <w:rFonts w:ascii="Times New Roman" w:hAnsi="Times New Roman" w:cs="Times New Roman"/>
          <w:sz w:val="28"/>
          <w:szCs w:val="28"/>
        </w:rPr>
        <w:t xml:space="preserve"> и </w:t>
      </w:r>
      <w:r w:rsidR="000C789F" w:rsidRPr="00C2212D">
        <w:rPr>
          <w:rFonts w:ascii="Times New Roman" w:hAnsi="Times New Roman" w:cs="Times New Roman"/>
          <w:sz w:val="28"/>
          <w:szCs w:val="28"/>
        </w:rPr>
        <w:t>сведения о заключении которых внесен</w:t>
      </w:r>
      <w:r w:rsidR="008E00D0">
        <w:rPr>
          <w:rFonts w:ascii="Times New Roman" w:hAnsi="Times New Roman" w:cs="Times New Roman"/>
          <w:sz w:val="28"/>
          <w:szCs w:val="28"/>
        </w:rPr>
        <w:t>ы</w:t>
      </w:r>
      <w:r w:rsidR="000C789F" w:rsidRPr="00C2212D">
        <w:rPr>
          <w:rFonts w:ascii="Times New Roman" w:hAnsi="Times New Roman" w:cs="Times New Roman"/>
          <w:sz w:val="28"/>
          <w:szCs w:val="28"/>
        </w:rPr>
        <w:t xml:space="preserve"> в реестр контрактов в 2018 году)</w:t>
      </w:r>
      <w:r w:rsidRPr="00C2212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0C789F" w:rsidRPr="00C2212D">
        <w:rPr>
          <w:rFonts w:ascii="Times New Roman" w:hAnsi="Times New Roman" w:cs="Times New Roman"/>
          <w:b/>
          <w:i/>
          <w:sz w:val="28"/>
          <w:szCs w:val="28"/>
        </w:rPr>
        <w:t>388,64</w:t>
      </w:r>
      <w:r w:rsidRPr="00C2212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B23920"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="0050271E" w:rsidRPr="00C2212D">
        <w:rPr>
          <w:rFonts w:ascii="Times New Roman" w:hAnsi="Times New Roman" w:cs="Times New Roman"/>
          <w:i/>
          <w:sz w:val="28"/>
          <w:szCs w:val="28"/>
        </w:rPr>
        <w:t>2,8</w:t>
      </w:r>
      <w:r w:rsidR="00B23920"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заключенных контрактов</w:t>
      </w:r>
      <w:r w:rsidR="00B23920" w:rsidRPr="00C2212D">
        <w:rPr>
          <w:rFonts w:ascii="Times New Roman" w:hAnsi="Times New Roman" w:cs="Times New Roman"/>
          <w:sz w:val="28"/>
          <w:szCs w:val="28"/>
        </w:rPr>
        <w:t>)</w:t>
      </w:r>
      <w:r w:rsidRPr="00C22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717" w:rsidRPr="00C2212D" w:rsidRDefault="00AD6717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Основным основанием для расторжения значительной части контрактов стала причина «по соглашению сторон»  – </w:t>
      </w:r>
      <w:r w:rsidR="000C789F" w:rsidRPr="00C2212D">
        <w:rPr>
          <w:rFonts w:ascii="Times New Roman" w:hAnsi="Times New Roman" w:cs="Times New Roman"/>
          <w:sz w:val="28"/>
          <w:szCs w:val="28"/>
        </w:rPr>
        <w:t>501</w:t>
      </w:r>
      <w:r w:rsidRPr="00C2212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C789F" w:rsidRPr="00C2212D">
        <w:rPr>
          <w:rFonts w:ascii="Times New Roman" w:hAnsi="Times New Roman" w:cs="Times New Roman"/>
          <w:sz w:val="28"/>
          <w:szCs w:val="28"/>
        </w:rPr>
        <w:t>а</w:t>
      </w:r>
      <w:r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Pr="00C2212D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="000C789F" w:rsidRPr="00C2212D">
        <w:rPr>
          <w:rFonts w:ascii="Times New Roman" w:hAnsi="Times New Roman" w:cs="Times New Roman"/>
          <w:i/>
          <w:sz w:val="28"/>
          <w:szCs w:val="28"/>
        </w:rPr>
        <w:t>97</w:t>
      </w:r>
      <w:r w:rsidRPr="00C2212D">
        <w:rPr>
          <w:rFonts w:ascii="Times New Roman" w:hAnsi="Times New Roman" w:cs="Times New Roman"/>
          <w:i/>
          <w:sz w:val="28"/>
          <w:szCs w:val="28"/>
        </w:rPr>
        <w:t>% от общего количества расторгнутых контрактов</w:t>
      </w:r>
      <w:r w:rsidRPr="00C2212D">
        <w:rPr>
          <w:rFonts w:ascii="Times New Roman" w:hAnsi="Times New Roman" w:cs="Times New Roman"/>
          <w:sz w:val="28"/>
          <w:szCs w:val="28"/>
        </w:rPr>
        <w:t xml:space="preserve">) на общую сумму </w:t>
      </w:r>
      <w:r w:rsidR="000C789F" w:rsidRPr="00C2212D">
        <w:rPr>
          <w:rFonts w:ascii="Times New Roman" w:hAnsi="Times New Roman" w:cs="Times New Roman"/>
          <w:sz w:val="28"/>
          <w:szCs w:val="28"/>
        </w:rPr>
        <w:t>352,9</w:t>
      </w:r>
      <w:r w:rsidRPr="00C2212D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D119D" w:rsidRPr="00C2212D" w:rsidRDefault="00ED119D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7742" w:rsidRDefault="00DD7742" w:rsidP="00ED119D">
      <w:pPr>
        <w:spacing w:line="312" w:lineRule="auto"/>
        <w:ind w:firstLine="539"/>
        <w:jc w:val="right"/>
        <w:rPr>
          <w:rFonts w:ascii="Times New Roman" w:hAnsi="Times New Roman" w:cs="Times New Roman"/>
          <w:i/>
        </w:rPr>
      </w:pPr>
    </w:p>
    <w:p w:rsidR="00DD7742" w:rsidRDefault="00DD7742" w:rsidP="00ED119D">
      <w:pPr>
        <w:spacing w:line="312" w:lineRule="auto"/>
        <w:ind w:firstLine="539"/>
        <w:jc w:val="right"/>
        <w:rPr>
          <w:rFonts w:ascii="Times New Roman" w:hAnsi="Times New Roman" w:cs="Times New Roman"/>
          <w:i/>
        </w:rPr>
      </w:pPr>
    </w:p>
    <w:p w:rsidR="00DD7742" w:rsidRDefault="00DD7742" w:rsidP="00ED119D">
      <w:pPr>
        <w:spacing w:line="312" w:lineRule="auto"/>
        <w:ind w:firstLine="539"/>
        <w:jc w:val="right"/>
        <w:rPr>
          <w:rFonts w:ascii="Times New Roman" w:hAnsi="Times New Roman" w:cs="Times New Roman"/>
          <w:i/>
        </w:rPr>
      </w:pPr>
    </w:p>
    <w:p w:rsidR="00DD7742" w:rsidRDefault="00DD7742" w:rsidP="00ED119D">
      <w:pPr>
        <w:spacing w:line="312" w:lineRule="auto"/>
        <w:ind w:firstLine="539"/>
        <w:jc w:val="right"/>
        <w:rPr>
          <w:rFonts w:ascii="Times New Roman" w:hAnsi="Times New Roman" w:cs="Times New Roman"/>
          <w:i/>
        </w:rPr>
      </w:pPr>
    </w:p>
    <w:p w:rsidR="00ED119D" w:rsidRPr="00C2212D" w:rsidRDefault="00AD6717" w:rsidP="00ED119D">
      <w:pPr>
        <w:spacing w:line="312" w:lineRule="auto"/>
        <w:ind w:firstLine="539"/>
        <w:jc w:val="right"/>
        <w:rPr>
          <w:rFonts w:ascii="Times New Roman" w:hAnsi="Times New Roman" w:cs="Times New Roman"/>
          <w:i/>
        </w:rPr>
      </w:pPr>
      <w:r w:rsidRPr="00C2212D">
        <w:rPr>
          <w:rFonts w:ascii="Times New Roman" w:hAnsi="Times New Roman" w:cs="Times New Roman"/>
          <w:i/>
        </w:rPr>
        <w:lastRenderedPageBreak/>
        <w:t>Таблица №</w:t>
      </w:r>
      <w:r w:rsidR="00D44B2C" w:rsidRPr="00C2212D">
        <w:rPr>
          <w:rFonts w:ascii="Times New Roman" w:hAnsi="Times New Roman" w:cs="Times New Roman"/>
          <w:i/>
        </w:rPr>
        <w:t xml:space="preserve"> 3</w:t>
      </w:r>
      <w:r w:rsidRPr="00C2212D">
        <w:rPr>
          <w:rFonts w:ascii="Times New Roman" w:hAnsi="Times New Roman" w:cs="Times New Roman"/>
          <w:i/>
        </w:rPr>
        <w:t xml:space="preserve">  </w:t>
      </w:r>
    </w:p>
    <w:p w:rsidR="00AD6717" w:rsidRPr="00C2212D" w:rsidRDefault="00AD6717" w:rsidP="00ED119D">
      <w:pPr>
        <w:spacing w:line="312" w:lineRule="auto"/>
        <w:ind w:firstLine="539"/>
        <w:jc w:val="right"/>
        <w:rPr>
          <w:rFonts w:ascii="Times New Roman" w:hAnsi="Times New Roman" w:cs="Times New Roman"/>
          <w:i/>
        </w:rPr>
      </w:pPr>
      <w:r w:rsidRPr="00C2212D">
        <w:rPr>
          <w:rFonts w:ascii="Times New Roman" w:hAnsi="Times New Roman" w:cs="Times New Roman"/>
          <w:i/>
        </w:rPr>
        <w:t>Информация о расторгнутых контрактах</w:t>
      </w:r>
    </w:p>
    <w:tbl>
      <w:tblPr>
        <w:tblStyle w:val="a8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2126"/>
        <w:gridCol w:w="2268"/>
      </w:tblGrid>
      <w:tr w:rsidR="00AD6717" w:rsidRPr="00C2212D" w:rsidTr="00061316">
        <w:tc>
          <w:tcPr>
            <w:tcW w:w="993" w:type="dxa"/>
            <w:vMerge w:val="restart"/>
            <w:vAlign w:val="center"/>
          </w:tcPr>
          <w:p w:rsidR="00AD6717" w:rsidRPr="00C2212D" w:rsidRDefault="00AD6717" w:rsidP="00061316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212D">
              <w:rPr>
                <w:rFonts w:ascii="Times New Roman" w:hAnsi="Times New Roman" w:cs="Times New Roman"/>
                <w:b/>
              </w:rPr>
              <w:t>№ строки</w:t>
            </w:r>
          </w:p>
        </w:tc>
        <w:tc>
          <w:tcPr>
            <w:tcW w:w="4253" w:type="dxa"/>
            <w:vMerge w:val="restart"/>
            <w:vAlign w:val="center"/>
          </w:tcPr>
          <w:p w:rsidR="00AD6717" w:rsidRPr="00C2212D" w:rsidRDefault="00AD6717" w:rsidP="00061316">
            <w:pPr>
              <w:spacing w:line="312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C2212D">
              <w:rPr>
                <w:rFonts w:ascii="Times New Roman" w:hAnsi="Times New Roman" w:cs="Times New Roman"/>
                <w:b/>
              </w:rPr>
              <w:t>Причина, по которой были расторгнуты контракты</w:t>
            </w:r>
          </w:p>
        </w:tc>
        <w:tc>
          <w:tcPr>
            <w:tcW w:w="4394" w:type="dxa"/>
            <w:gridSpan w:val="2"/>
            <w:vAlign w:val="center"/>
          </w:tcPr>
          <w:p w:rsidR="00AD6717" w:rsidRPr="00C2212D" w:rsidRDefault="00AD6717" w:rsidP="00061316">
            <w:pPr>
              <w:spacing w:line="312" w:lineRule="auto"/>
              <w:ind w:firstLine="539"/>
              <w:jc w:val="center"/>
              <w:rPr>
                <w:rFonts w:ascii="Times New Roman" w:hAnsi="Times New Roman" w:cs="Times New Roman"/>
                <w:b/>
              </w:rPr>
            </w:pPr>
            <w:r w:rsidRPr="00C2212D">
              <w:rPr>
                <w:rFonts w:ascii="Times New Roman" w:hAnsi="Times New Roman" w:cs="Times New Roman"/>
                <w:b/>
              </w:rPr>
              <w:t>Расторгнутые контракты</w:t>
            </w:r>
          </w:p>
        </w:tc>
      </w:tr>
      <w:tr w:rsidR="00AD6717" w:rsidRPr="00C2212D" w:rsidTr="00061316">
        <w:tc>
          <w:tcPr>
            <w:tcW w:w="993" w:type="dxa"/>
            <w:vMerge/>
          </w:tcPr>
          <w:p w:rsidR="00AD6717" w:rsidRPr="00C2212D" w:rsidRDefault="00AD6717" w:rsidP="00613955">
            <w:pPr>
              <w:spacing w:line="312" w:lineRule="auto"/>
              <w:ind w:firstLine="539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AD6717" w:rsidRPr="00C2212D" w:rsidRDefault="00AD6717" w:rsidP="00613955">
            <w:pPr>
              <w:spacing w:line="312" w:lineRule="auto"/>
              <w:ind w:firstLine="539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D6717" w:rsidRPr="00C2212D" w:rsidRDefault="00AD6717" w:rsidP="00061316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212D">
              <w:rPr>
                <w:rFonts w:ascii="Times New Roman" w:hAnsi="Times New Roman" w:cs="Times New Roman"/>
                <w:b/>
              </w:rPr>
              <w:t>Общее количество</w:t>
            </w:r>
          </w:p>
        </w:tc>
        <w:tc>
          <w:tcPr>
            <w:tcW w:w="2268" w:type="dxa"/>
            <w:vAlign w:val="center"/>
          </w:tcPr>
          <w:p w:rsidR="00AD6717" w:rsidRPr="00C2212D" w:rsidRDefault="00AD6717" w:rsidP="00061316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212D">
              <w:rPr>
                <w:rFonts w:ascii="Times New Roman" w:hAnsi="Times New Roman" w:cs="Times New Roman"/>
                <w:b/>
              </w:rPr>
              <w:t>Общая стоимость млн. рублей</w:t>
            </w:r>
          </w:p>
        </w:tc>
      </w:tr>
      <w:tr w:rsidR="00AD6717" w:rsidRPr="00C2212D" w:rsidTr="00211A63">
        <w:tc>
          <w:tcPr>
            <w:tcW w:w="993" w:type="dxa"/>
            <w:vAlign w:val="center"/>
          </w:tcPr>
          <w:p w:rsidR="00AD6717" w:rsidRPr="00C2212D" w:rsidRDefault="00AD6717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AD6717" w:rsidRPr="00C2212D" w:rsidRDefault="00AD6717" w:rsidP="00F93D85">
            <w:pPr>
              <w:spacing w:line="312" w:lineRule="auto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2212D">
              <w:rPr>
                <w:rFonts w:ascii="Times New Roman" w:hAnsi="Times New Roman" w:cs="Times New Roman"/>
                <w:color w:val="000000"/>
              </w:rPr>
              <w:t>«По соглашению сторон»</w:t>
            </w:r>
          </w:p>
        </w:tc>
        <w:tc>
          <w:tcPr>
            <w:tcW w:w="2126" w:type="dxa"/>
            <w:vAlign w:val="center"/>
          </w:tcPr>
          <w:p w:rsidR="00AD6717" w:rsidRPr="00C2212D" w:rsidRDefault="000C789F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268" w:type="dxa"/>
            <w:vAlign w:val="center"/>
          </w:tcPr>
          <w:p w:rsidR="00AD6717" w:rsidRPr="00C2212D" w:rsidRDefault="000C789F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352,91</w:t>
            </w:r>
          </w:p>
        </w:tc>
      </w:tr>
      <w:tr w:rsidR="00AD6717" w:rsidRPr="00C2212D" w:rsidTr="00211A63">
        <w:tc>
          <w:tcPr>
            <w:tcW w:w="993" w:type="dxa"/>
            <w:vAlign w:val="center"/>
          </w:tcPr>
          <w:p w:rsidR="00AD6717" w:rsidRPr="00C2212D" w:rsidRDefault="00AD6717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AD6717" w:rsidRPr="00C2212D" w:rsidRDefault="00AD6717" w:rsidP="0072512B">
            <w:pPr>
              <w:spacing w:line="312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2212D">
              <w:rPr>
                <w:rFonts w:ascii="Times New Roman" w:hAnsi="Times New Roman" w:cs="Times New Roman"/>
                <w:color w:val="000000"/>
              </w:rPr>
              <w:t>«В случае одностороннего отказа заказчика от исполнения контракта»</w:t>
            </w:r>
          </w:p>
        </w:tc>
        <w:tc>
          <w:tcPr>
            <w:tcW w:w="2126" w:type="dxa"/>
            <w:vAlign w:val="center"/>
          </w:tcPr>
          <w:p w:rsidR="00AD6717" w:rsidRPr="00C2212D" w:rsidRDefault="000C789F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:rsidR="00AD6717" w:rsidRPr="00C2212D" w:rsidRDefault="000C789F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33,88</w:t>
            </w:r>
          </w:p>
        </w:tc>
      </w:tr>
      <w:tr w:rsidR="00AD6717" w:rsidRPr="00C2212D" w:rsidTr="00211A63">
        <w:tc>
          <w:tcPr>
            <w:tcW w:w="993" w:type="dxa"/>
            <w:vAlign w:val="center"/>
          </w:tcPr>
          <w:p w:rsidR="00AD6717" w:rsidRPr="00C2212D" w:rsidRDefault="00AD6717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AD6717" w:rsidRPr="00C2212D" w:rsidRDefault="00AD6717" w:rsidP="0072512B">
            <w:pPr>
              <w:spacing w:line="312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2212D">
              <w:rPr>
                <w:rFonts w:ascii="Times New Roman" w:hAnsi="Times New Roman" w:cs="Times New Roman"/>
                <w:color w:val="000000"/>
              </w:rPr>
              <w:t>«В случае одностороннего отказа поставщика (подрядчика, исполнителя) от исполнения контракта»</w:t>
            </w:r>
          </w:p>
        </w:tc>
        <w:tc>
          <w:tcPr>
            <w:tcW w:w="2126" w:type="dxa"/>
            <w:vAlign w:val="center"/>
          </w:tcPr>
          <w:p w:rsidR="00AD6717" w:rsidRPr="00C2212D" w:rsidRDefault="000C789F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AD6717" w:rsidRPr="00C2212D" w:rsidRDefault="000C789F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1,85</w:t>
            </w:r>
          </w:p>
        </w:tc>
      </w:tr>
      <w:tr w:rsidR="00AD6717" w:rsidRPr="00C2212D" w:rsidTr="00211A63">
        <w:tc>
          <w:tcPr>
            <w:tcW w:w="993" w:type="dxa"/>
            <w:vAlign w:val="center"/>
          </w:tcPr>
          <w:p w:rsidR="00AD6717" w:rsidRPr="00C2212D" w:rsidRDefault="00AD6717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AD6717" w:rsidRPr="00C2212D" w:rsidRDefault="00AD6717" w:rsidP="00211A63">
            <w:pPr>
              <w:spacing w:line="312" w:lineRule="auto"/>
              <w:ind w:firstLine="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2212D">
              <w:rPr>
                <w:rFonts w:ascii="Times New Roman" w:hAnsi="Times New Roman" w:cs="Times New Roman"/>
                <w:color w:val="000000"/>
              </w:rPr>
              <w:t xml:space="preserve">ИТОГО </w:t>
            </w:r>
          </w:p>
        </w:tc>
        <w:tc>
          <w:tcPr>
            <w:tcW w:w="2126" w:type="dxa"/>
            <w:vAlign w:val="center"/>
          </w:tcPr>
          <w:p w:rsidR="00AD6717" w:rsidRPr="00C2212D" w:rsidRDefault="000C789F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268" w:type="dxa"/>
            <w:vAlign w:val="center"/>
          </w:tcPr>
          <w:p w:rsidR="00AD6717" w:rsidRPr="00C2212D" w:rsidRDefault="000C789F" w:rsidP="00211A63">
            <w:pPr>
              <w:spacing w:line="31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212D">
              <w:rPr>
                <w:rFonts w:ascii="Times New Roman" w:hAnsi="Times New Roman" w:cs="Times New Roman"/>
              </w:rPr>
              <w:t>388,64</w:t>
            </w:r>
          </w:p>
        </w:tc>
      </w:tr>
    </w:tbl>
    <w:p w:rsidR="00592C92" w:rsidRPr="00C2212D" w:rsidRDefault="00592C92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6717" w:rsidRPr="00C2212D" w:rsidRDefault="00AD6717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D44B2C" w:rsidRPr="00C2212D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Анализ исполнения контрактов</w:t>
      </w:r>
    </w:p>
    <w:p w:rsidR="00592C92" w:rsidRPr="00C2212D" w:rsidRDefault="00592C92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6717" w:rsidRPr="00C2212D" w:rsidRDefault="00AD6717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Сумма фактической оплаты </w:t>
      </w:r>
      <w:r w:rsidR="00AA0B44" w:rsidRPr="00C2212D">
        <w:rPr>
          <w:rFonts w:ascii="Times New Roman" w:hAnsi="Times New Roman" w:cs="Times New Roman"/>
          <w:sz w:val="28"/>
          <w:szCs w:val="28"/>
        </w:rPr>
        <w:t xml:space="preserve">произошла по </w:t>
      </w:r>
      <w:r w:rsidR="00AA0B44" w:rsidRPr="00C2212D">
        <w:rPr>
          <w:rFonts w:ascii="Times New Roman" w:hAnsi="Times New Roman" w:cs="Times New Roman"/>
          <w:b/>
          <w:i/>
          <w:sz w:val="28"/>
          <w:szCs w:val="28"/>
        </w:rPr>
        <w:t>12 306</w:t>
      </w:r>
      <w:r w:rsidR="00AA0B44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>заключенным контрактам</w:t>
      </w:r>
      <w:r w:rsidR="00AA0B44" w:rsidRPr="00C2212D">
        <w:rPr>
          <w:rFonts w:ascii="Times New Roman" w:hAnsi="Times New Roman" w:cs="Times New Roman"/>
          <w:sz w:val="28"/>
          <w:szCs w:val="28"/>
        </w:rPr>
        <w:t xml:space="preserve"> (</w:t>
      </w:r>
      <w:r w:rsidR="00AA0B44" w:rsidRPr="00C2212D">
        <w:rPr>
          <w:rFonts w:ascii="Times New Roman" w:hAnsi="Times New Roman" w:cs="Times New Roman"/>
          <w:b/>
          <w:i/>
          <w:sz w:val="28"/>
          <w:szCs w:val="28"/>
        </w:rPr>
        <w:t>более 67%</w:t>
      </w:r>
      <w:r w:rsidR="00AA0B44" w:rsidRPr="00C2212D">
        <w:rPr>
          <w:rFonts w:ascii="Times New Roman" w:hAnsi="Times New Roman" w:cs="Times New Roman"/>
          <w:sz w:val="28"/>
          <w:szCs w:val="28"/>
        </w:rPr>
        <w:t xml:space="preserve"> от общего количества заключенных контрактов в первом полугодии 2018 г.) 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AA0B44" w:rsidRPr="00C2212D">
        <w:rPr>
          <w:rFonts w:ascii="Times New Roman" w:hAnsi="Times New Roman" w:cs="Times New Roman"/>
          <w:sz w:val="28"/>
          <w:szCs w:val="28"/>
        </w:rPr>
        <w:t>и составила</w:t>
      </w:r>
      <w:r w:rsidR="00AA0B44" w:rsidRPr="00C221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5 311,58 </w:t>
      </w:r>
      <w:r w:rsidRPr="00C22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AD6717" w:rsidRPr="00C2212D" w:rsidRDefault="00AD6717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bCs/>
          <w:sz w:val="28"/>
          <w:szCs w:val="28"/>
        </w:rPr>
        <w:t xml:space="preserve">Данные по начислению неустоек (штрафов, пеней) в связи с неисполнением или ненадлежащим исполнением обязательств по контрактам  за указанный период отсутствуют. </w:t>
      </w:r>
    </w:p>
    <w:p w:rsidR="00C213FC" w:rsidRDefault="00C213FC" w:rsidP="00F166ED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13FC" w:rsidRPr="00C2212D" w:rsidRDefault="00C213FC" w:rsidP="00F166ED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66ED" w:rsidRPr="00C2212D" w:rsidRDefault="00F166ED" w:rsidP="00F166ED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D44B2C" w:rsidRPr="00C2212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24A8F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полномочий </w:t>
      </w:r>
      <w:r w:rsidR="007E6C7D" w:rsidRPr="00C2212D">
        <w:rPr>
          <w:rFonts w:ascii="Times New Roman" w:hAnsi="Times New Roman" w:cs="Times New Roman"/>
          <w:b/>
          <w:i/>
          <w:sz w:val="28"/>
          <w:szCs w:val="28"/>
        </w:rPr>
        <w:t>Департамент</w:t>
      </w:r>
      <w:r w:rsidR="00CF4E75" w:rsidRPr="00C2212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E6C7D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4A8F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на определение поставщиков (подрядчиков, исполнителей) </w:t>
      </w:r>
      <w:r w:rsidR="00324A8F" w:rsidRPr="00C2212D">
        <w:rPr>
          <w:rFonts w:ascii="Times New Roman" w:hAnsi="Times New Roman" w:cs="Times New Roman"/>
          <w:b/>
          <w:i/>
          <w:iCs/>
          <w:sz w:val="28"/>
          <w:szCs w:val="28"/>
        </w:rPr>
        <w:t>для заказчиков Свердловской области</w:t>
      </w:r>
    </w:p>
    <w:p w:rsidR="0062039B" w:rsidRPr="00C2212D" w:rsidRDefault="0062039B" w:rsidP="00F166ED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444" w:rsidRPr="00C2212D" w:rsidRDefault="003F6149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Департамент</w:t>
      </w:r>
      <w:r w:rsidR="00CB7444" w:rsidRPr="00C22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444" w:rsidRPr="00C2212D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="00CB7444" w:rsidRPr="00C2212D">
        <w:rPr>
          <w:rFonts w:ascii="Times New Roman" w:hAnsi="Times New Roman" w:cs="Times New Roman"/>
          <w:sz w:val="28"/>
          <w:szCs w:val="28"/>
        </w:rPr>
        <w:t xml:space="preserve"> на </w:t>
      </w:r>
      <w:r w:rsidR="00CB7444" w:rsidRPr="00C2212D">
        <w:rPr>
          <w:rFonts w:ascii="Times New Roman" w:hAnsi="Times New Roman" w:cs="Times New Roman"/>
          <w:iCs/>
          <w:sz w:val="28"/>
          <w:szCs w:val="28"/>
        </w:rPr>
        <w:t>определение поставщиков (подрядчиков, исполнителей) для заказчиков Свердловской области путем проведения конкурсов и аукционов</w:t>
      </w:r>
      <w:r w:rsidR="00CB7444" w:rsidRPr="00C2212D">
        <w:rPr>
          <w:rFonts w:ascii="Times New Roman" w:hAnsi="Times New Roman" w:cs="Times New Roman"/>
          <w:sz w:val="28"/>
          <w:szCs w:val="28"/>
        </w:rPr>
        <w:t xml:space="preserve"> с начальной (максимальной) ценой контракта </w:t>
      </w:r>
      <w:r w:rsidR="00CB7444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E101F9" w:rsidRPr="00C2212D">
        <w:rPr>
          <w:rFonts w:ascii="Times New Roman" w:hAnsi="Times New Roman" w:cs="Times New Roman"/>
          <w:b/>
          <w:i/>
          <w:sz w:val="28"/>
          <w:szCs w:val="28"/>
        </w:rPr>
        <w:t>млн. рублей</w:t>
      </w:r>
      <w:r w:rsidR="00CB7444" w:rsidRPr="00C2212D">
        <w:rPr>
          <w:rFonts w:ascii="Times New Roman" w:hAnsi="Times New Roman" w:cs="Times New Roman"/>
          <w:sz w:val="28"/>
          <w:szCs w:val="28"/>
        </w:rPr>
        <w:t xml:space="preserve"> и более. </w:t>
      </w: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C2212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Свердловской области от 27.12.2013 № 1665-ПП </w:t>
      </w:r>
      <w:r w:rsidRPr="00C2212D">
        <w:rPr>
          <w:rFonts w:ascii="Times New Roman" w:hAnsi="Times New Roman" w:cs="Times New Roman"/>
          <w:i/>
          <w:sz w:val="28"/>
          <w:szCs w:val="28"/>
        </w:rPr>
        <w:t xml:space="preserve">«О наделении полномочиями на определение поставщиков (подрядчиков, исполнителей) Департамента государственных закупок Свердловской области и утверждении порядка взаимодействия </w:t>
      </w:r>
      <w:r w:rsidRPr="00C2212D">
        <w:rPr>
          <w:rFonts w:ascii="Times New Roman" w:hAnsi="Times New Roman" w:cs="Times New Roman"/>
          <w:i/>
          <w:sz w:val="28"/>
          <w:szCs w:val="28"/>
        </w:rPr>
        <w:lastRenderedPageBreak/>
        <w:t>Департамента государственных закупок Свердловской области и заказчиков Свердловской области в сфере закупок товаров, работ, услуг для нужд Свердловской области»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3F6149" w:rsidRPr="00DD7742">
        <w:rPr>
          <w:rFonts w:ascii="Times New Roman" w:hAnsi="Times New Roman" w:cs="Times New Roman"/>
          <w:sz w:val="28"/>
          <w:szCs w:val="28"/>
        </w:rPr>
        <w:t>Департамент</w:t>
      </w:r>
      <w:r w:rsidRPr="00DD7742">
        <w:rPr>
          <w:rFonts w:ascii="Times New Roman" w:hAnsi="Times New Roman" w:cs="Times New Roman"/>
          <w:sz w:val="28"/>
          <w:szCs w:val="28"/>
        </w:rPr>
        <w:t xml:space="preserve"> при осуществлении заказчиками Свердловской области </w:t>
      </w:r>
      <w:r w:rsidR="00D66F2E" w:rsidRPr="00DD7742">
        <w:rPr>
          <w:rFonts w:ascii="Times New Roman" w:hAnsi="Times New Roman" w:cs="Times New Roman"/>
          <w:sz w:val="28"/>
          <w:szCs w:val="28"/>
        </w:rPr>
        <w:t>закупок путем проведения открытого конкурса, конкурса с ограниченным</w:t>
      </w:r>
      <w:proofErr w:type="gramEnd"/>
      <w:r w:rsidR="00D66F2E" w:rsidRPr="00DD7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F2E" w:rsidRPr="00DD7742">
        <w:rPr>
          <w:rFonts w:ascii="Times New Roman" w:hAnsi="Times New Roman" w:cs="Times New Roman"/>
          <w:sz w:val="28"/>
          <w:szCs w:val="28"/>
        </w:rPr>
        <w:t>участием, двухэтапного конкурса с начальной (максимальной) ценой контракта (ценой лота) один миллион рублей и более, а также при осуществлении закупки путем проведения аукциона в электронной форме с начальной (максимальной) ценой контракта (ценой лота) пять миллионов рублей и более</w:t>
      </w:r>
      <w:r w:rsidRPr="00DD7742">
        <w:rPr>
          <w:rFonts w:ascii="Times New Roman" w:hAnsi="Times New Roman" w:cs="Times New Roman"/>
          <w:sz w:val="28"/>
          <w:szCs w:val="28"/>
        </w:rPr>
        <w:t xml:space="preserve"> рассматривает заявки на предмет их соответствия требованиям законодательства о контрактной системе в сфере закупок.</w:t>
      </w:r>
      <w:proofErr w:type="gramEnd"/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64CE2" w:rsidRPr="00C2212D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C2212D">
        <w:rPr>
          <w:rFonts w:ascii="Times New Roman" w:hAnsi="Times New Roman" w:cs="Times New Roman"/>
          <w:sz w:val="28"/>
          <w:szCs w:val="28"/>
        </w:rPr>
        <w:t>201</w:t>
      </w:r>
      <w:r w:rsidR="00464CE2" w:rsidRPr="00C2212D">
        <w:rPr>
          <w:rFonts w:ascii="Times New Roman" w:hAnsi="Times New Roman" w:cs="Times New Roman"/>
          <w:sz w:val="28"/>
          <w:szCs w:val="28"/>
        </w:rPr>
        <w:t>7</w:t>
      </w:r>
      <w:r w:rsidRPr="00C2212D">
        <w:rPr>
          <w:rFonts w:ascii="Times New Roman" w:hAnsi="Times New Roman" w:cs="Times New Roman"/>
          <w:sz w:val="28"/>
          <w:szCs w:val="28"/>
        </w:rPr>
        <w:t xml:space="preserve"> год</w:t>
      </w:r>
      <w:r w:rsidR="00464CE2" w:rsidRPr="00C2212D">
        <w:rPr>
          <w:rFonts w:ascii="Times New Roman" w:hAnsi="Times New Roman" w:cs="Times New Roman"/>
          <w:sz w:val="28"/>
          <w:szCs w:val="28"/>
        </w:rPr>
        <w:t>а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5E7E0B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количество заявок, поступивших в </w:t>
      </w:r>
      <w:r w:rsidR="00464CE2" w:rsidRPr="00C2212D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7E1448" w:rsidRPr="00C2212D">
        <w:rPr>
          <w:rFonts w:ascii="Times New Roman" w:hAnsi="Times New Roman" w:cs="Times New Roman"/>
          <w:sz w:val="28"/>
          <w:szCs w:val="28"/>
        </w:rPr>
        <w:t>201</w:t>
      </w:r>
      <w:r w:rsidR="00464CE2" w:rsidRPr="00C2212D">
        <w:rPr>
          <w:rFonts w:ascii="Times New Roman" w:hAnsi="Times New Roman" w:cs="Times New Roman"/>
          <w:sz w:val="28"/>
          <w:szCs w:val="28"/>
        </w:rPr>
        <w:t>8</w:t>
      </w:r>
      <w:r w:rsidRPr="00C2212D">
        <w:rPr>
          <w:rFonts w:ascii="Times New Roman" w:hAnsi="Times New Roman" w:cs="Times New Roman"/>
          <w:sz w:val="28"/>
          <w:szCs w:val="28"/>
        </w:rPr>
        <w:t xml:space="preserve"> год</w:t>
      </w:r>
      <w:r w:rsidR="00464F40">
        <w:rPr>
          <w:rFonts w:ascii="Times New Roman" w:hAnsi="Times New Roman" w:cs="Times New Roman"/>
          <w:sz w:val="28"/>
          <w:szCs w:val="28"/>
        </w:rPr>
        <w:t>а</w:t>
      </w:r>
      <w:r w:rsidR="005E7E0B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в </w:t>
      </w:r>
      <w:r w:rsidR="003F6149" w:rsidRPr="00C2212D">
        <w:rPr>
          <w:rFonts w:ascii="Times New Roman" w:hAnsi="Times New Roman" w:cs="Times New Roman"/>
          <w:sz w:val="28"/>
          <w:szCs w:val="28"/>
        </w:rPr>
        <w:t>Департамент</w:t>
      </w:r>
      <w:r w:rsidRPr="00C2212D">
        <w:rPr>
          <w:rFonts w:ascii="Times New Roman" w:hAnsi="Times New Roman" w:cs="Times New Roman"/>
          <w:sz w:val="28"/>
          <w:szCs w:val="28"/>
        </w:rPr>
        <w:t xml:space="preserve">, </w:t>
      </w:r>
      <w:r w:rsidR="00886F3E" w:rsidRPr="00C2212D">
        <w:rPr>
          <w:rFonts w:ascii="Times New Roman" w:hAnsi="Times New Roman" w:cs="Times New Roman"/>
          <w:sz w:val="28"/>
          <w:szCs w:val="28"/>
        </w:rPr>
        <w:t>снизилось</w:t>
      </w:r>
      <w:r w:rsidR="00F4523F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886F3E" w:rsidRPr="00C2212D">
        <w:rPr>
          <w:rFonts w:ascii="Times New Roman" w:hAnsi="Times New Roman" w:cs="Times New Roman"/>
          <w:sz w:val="28"/>
          <w:szCs w:val="28"/>
        </w:rPr>
        <w:br/>
      </w:r>
      <w:r w:rsidR="005E7E0B" w:rsidRPr="00C2212D">
        <w:rPr>
          <w:rFonts w:ascii="Times New Roman" w:hAnsi="Times New Roman" w:cs="Times New Roman"/>
          <w:sz w:val="28"/>
          <w:szCs w:val="28"/>
        </w:rPr>
        <w:t xml:space="preserve">с </w:t>
      </w:r>
      <w:r w:rsidR="00886F3E" w:rsidRPr="00C2212D">
        <w:rPr>
          <w:rFonts w:ascii="Times New Roman" w:hAnsi="Times New Roman" w:cs="Times New Roman"/>
          <w:b/>
          <w:i/>
          <w:sz w:val="28"/>
          <w:szCs w:val="28"/>
        </w:rPr>
        <w:t>1 599</w:t>
      </w:r>
      <w:r w:rsidR="005E7E0B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E0B" w:rsidRPr="00C2212D">
        <w:rPr>
          <w:rFonts w:ascii="Times New Roman" w:hAnsi="Times New Roman" w:cs="Times New Roman"/>
          <w:sz w:val="28"/>
          <w:szCs w:val="28"/>
        </w:rPr>
        <w:t xml:space="preserve">шт. до </w:t>
      </w:r>
      <w:r w:rsidR="00886F3E" w:rsidRPr="00C2212D">
        <w:rPr>
          <w:rFonts w:ascii="Times New Roman" w:hAnsi="Times New Roman" w:cs="Times New Roman"/>
          <w:b/>
          <w:i/>
          <w:sz w:val="28"/>
          <w:szCs w:val="28"/>
        </w:rPr>
        <w:t>1 284</w:t>
      </w:r>
      <w:r w:rsidR="005E7E0B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E0B" w:rsidRPr="00C2212D">
        <w:rPr>
          <w:rFonts w:ascii="Times New Roman" w:hAnsi="Times New Roman" w:cs="Times New Roman"/>
          <w:sz w:val="28"/>
          <w:szCs w:val="28"/>
        </w:rPr>
        <w:t xml:space="preserve">или </w:t>
      </w:r>
      <w:r w:rsidRPr="00C2212D">
        <w:rPr>
          <w:rFonts w:ascii="Times New Roman" w:hAnsi="Times New Roman" w:cs="Times New Roman"/>
          <w:sz w:val="28"/>
          <w:szCs w:val="28"/>
        </w:rPr>
        <w:t xml:space="preserve"> на </w:t>
      </w:r>
      <w:r w:rsidR="00886F3E" w:rsidRPr="00C2212D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C2212D">
        <w:rPr>
          <w:rFonts w:ascii="Times New Roman" w:hAnsi="Times New Roman" w:cs="Times New Roman"/>
          <w:sz w:val="28"/>
          <w:szCs w:val="28"/>
        </w:rPr>
        <w:t xml:space="preserve">, </w:t>
      </w:r>
      <w:r w:rsidR="00464F40">
        <w:rPr>
          <w:rFonts w:ascii="Times New Roman" w:hAnsi="Times New Roman" w:cs="Times New Roman"/>
          <w:sz w:val="28"/>
          <w:szCs w:val="28"/>
        </w:rPr>
        <w:t>по</w:t>
      </w:r>
      <w:r w:rsidR="004525FB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>сумм</w:t>
      </w:r>
      <w:r w:rsidR="00464F40">
        <w:rPr>
          <w:rFonts w:ascii="Times New Roman" w:hAnsi="Times New Roman" w:cs="Times New Roman"/>
          <w:sz w:val="28"/>
          <w:szCs w:val="28"/>
        </w:rPr>
        <w:t>е</w:t>
      </w:r>
      <w:r w:rsidRPr="00C2212D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5E7E0B" w:rsidRPr="00C2212D">
        <w:rPr>
          <w:rFonts w:ascii="Times New Roman" w:hAnsi="Times New Roman" w:cs="Times New Roman"/>
          <w:sz w:val="28"/>
          <w:szCs w:val="28"/>
        </w:rPr>
        <w:t xml:space="preserve">с </w:t>
      </w:r>
      <w:r w:rsidR="00886F3E" w:rsidRPr="00C2212D">
        <w:rPr>
          <w:rFonts w:ascii="Times New Roman" w:hAnsi="Times New Roman" w:cs="Times New Roman"/>
          <w:b/>
          <w:i/>
          <w:sz w:val="28"/>
          <w:szCs w:val="28"/>
        </w:rPr>
        <w:t>31 612,3</w:t>
      </w:r>
      <w:r w:rsidR="005E7E0B" w:rsidRPr="00C2212D">
        <w:rPr>
          <w:rFonts w:ascii="Times New Roman" w:hAnsi="Times New Roman" w:cs="Times New Roman"/>
          <w:sz w:val="28"/>
          <w:szCs w:val="28"/>
        </w:rPr>
        <w:t xml:space="preserve">  </w:t>
      </w:r>
      <w:r w:rsidR="00E101F9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5E7E0B" w:rsidRPr="00C2212D">
        <w:rPr>
          <w:rFonts w:ascii="Times New Roman" w:hAnsi="Times New Roman" w:cs="Times New Roman"/>
          <w:sz w:val="28"/>
          <w:szCs w:val="28"/>
        </w:rPr>
        <w:t xml:space="preserve"> до </w:t>
      </w:r>
      <w:r w:rsidR="00886F3E" w:rsidRPr="00C2212D">
        <w:rPr>
          <w:rFonts w:ascii="Times New Roman" w:hAnsi="Times New Roman" w:cs="Times New Roman"/>
          <w:b/>
          <w:i/>
          <w:sz w:val="28"/>
          <w:szCs w:val="28"/>
        </w:rPr>
        <w:t>26 679,27</w:t>
      </w:r>
      <w:r w:rsidR="005E7E0B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E101F9" w:rsidRPr="00C2212D">
        <w:rPr>
          <w:rFonts w:ascii="Times New Roman" w:hAnsi="Times New Roman" w:cs="Times New Roman"/>
          <w:sz w:val="28"/>
          <w:szCs w:val="28"/>
        </w:rPr>
        <w:t>млн. рублей</w:t>
      </w:r>
      <w:r w:rsidR="005E7E0B" w:rsidRPr="00C2212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1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886F3E" w:rsidRPr="00C2212D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C22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D66F2E">
        <w:rPr>
          <w:rFonts w:ascii="Times New Roman" w:hAnsi="Times New Roman" w:cs="Times New Roman"/>
          <w:sz w:val="28"/>
          <w:szCs w:val="28"/>
        </w:rPr>
        <w:t>Доля заявок,</w:t>
      </w:r>
      <w:r w:rsidRPr="00C2212D">
        <w:rPr>
          <w:rFonts w:ascii="Times New Roman" w:hAnsi="Times New Roman" w:cs="Times New Roman"/>
          <w:sz w:val="28"/>
          <w:szCs w:val="28"/>
        </w:rPr>
        <w:t xml:space="preserve"> в которых Департаментом</w:t>
      </w:r>
      <w:r w:rsidR="00D66F2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</w:t>
      </w:r>
      <w:r w:rsidRPr="00C2212D">
        <w:rPr>
          <w:rFonts w:ascii="Times New Roman" w:hAnsi="Times New Roman" w:cs="Times New Roman"/>
          <w:sz w:val="28"/>
          <w:szCs w:val="28"/>
        </w:rPr>
        <w:t xml:space="preserve"> выявлены нарушения требований законодательства о контрактной системе в сфере закупок, </w:t>
      </w:r>
      <w:r w:rsidR="001F5AE0" w:rsidRPr="00C2212D">
        <w:rPr>
          <w:rFonts w:ascii="Times New Roman" w:hAnsi="Times New Roman" w:cs="Times New Roman"/>
          <w:sz w:val="28"/>
          <w:szCs w:val="28"/>
        </w:rPr>
        <w:t>увеличилось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1F5AE0" w:rsidRPr="00C2212D">
        <w:rPr>
          <w:rFonts w:ascii="Times New Roman" w:hAnsi="Times New Roman" w:cs="Times New Roman"/>
          <w:sz w:val="28"/>
          <w:szCs w:val="28"/>
        </w:rPr>
        <w:t xml:space="preserve">почти в 2 раза </w:t>
      </w:r>
      <w:r w:rsidR="002566B1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2566B1">
        <w:rPr>
          <w:rFonts w:ascii="Times New Roman" w:hAnsi="Times New Roman" w:cs="Times New Roman"/>
          <w:b/>
          <w:i/>
          <w:sz w:val="28"/>
          <w:szCs w:val="28"/>
        </w:rPr>
        <w:t xml:space="preserve">41,5 </w:t>
      </w:r>
      <w:r w:rsidR="002566B1">
        <w:rPr>
          <w:rFonts w:ascii="Times New Roman" w:hAnsi="Times New Roman" w:cs="Times New Roman"/>
          <w:sz w:val="28"/>
          <w:szCs w:val="28"/>
        </w:rPr>
        <w:t>%</w:t>
      </w:r>
      <w:r w:rsidR="002566B1" w:rsidRPr="00464F40">
        <w:rPr>
          <w:rFonts w:ascii="Times New Roman" w:hAnsi="Times New Roman" w:cs="Times New Roman"/>
          <w:sz w:val="28"/>
          <w:szCs w:val="28"/>
        </w:rPr>
        <w:t>.</w:t>
      </w:r>
      <w:r w:rsidR="002566B1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66B1" w:rsidRPr="002566B1">
        <w:rPr>
          <w:rFonts w:ascii="Times New Roman" w:hAnsi="Times New Roman" w:cs="Times New Roman"/>
          <w:i/>
          <w:sz w:val="28"/>
          <w:szCs w:val="28"/>
        </w:rPr>
        <w:t>до</w:t>
      </w:r>
      <w:r w:rsidR="002566B1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66B1">
        <w:rPr>
          <w:rFonts w:ascii="Times New Roman" w:hAnsi="Times New Roman" w:cs="Times New Roman"/>
          <w:b/>
          <w:i/>
          <w:sz w:val="28"/>
          <w:szCs w:val="28"/>
        </w:rPr>
        <w:t>80,6</w:t>
      </w:r>
      <w:r w:rsidR="002566B1"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66B1">
        <w:rPr>
          <w:rFonts w:ascii="Times New Roman" w:hAnsi="Times New Roman" w:cs="Times New Roman"/>
          <w:sz w:val="28"/>
          <w:szCs w:val="28"/>
        </w:rPr>
        <w:t xml:space="preserve">% </w:t>
      </w:r>
      <w:r w:rsidR="002566B1" w:rsidRPr="002566B1">
        <w:rPr>
          <w:rFonts w:ascii="Times New Roman" w:hAnsi="Times New Roman" w:cs="Times New Roman"/>
          <w:i/>
          <w:sz w:val="28"/>
          <w:szCs w:val="28"/>
        </w:rPr>
        <w:t xml:space="preserve">(по количеств </w:t>
      </w:r>
      <w:r w:rsidR="004525FB" w:rsidRPr="002566B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1F5AE0" w:rsidRPr="002566B1">
        <w:rPr>
          <w:rFonts w:ascii="Times New Roman" w:hAnsi="Times New Roman" w:cs="Times New Roman"/>
          <w:b/>
          <w:i/>
          <w:sz w:val="28"/>
          <w:szCs w:val="28"/>
        </w:rPr>
        <w:t>149</w:t>
      </w:r>
      <w:r w:rsidR="00464F40" w:rsidRPr="002566B1">
        <w:rPr>
          <w:rFonts w:ascii="Times New Roman" w:hAnsi="Times New Roman" w:cs="Times New Roman"/>
          <w:i/>
          <w:sz w:val="28"/>
          <w:szCs w:val="28"/>
        </w:rPr>
        <w:t xml:space="preserve"> шт.</w:t>
      </w:r>
      <w:r w:rsidR="004525FB" w:rsidRPr="002566B1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1F5AE0" w:rsidRPr="002566B1">
        <w:rPr>
          <w:rFonts w:ascii="Times New Roman" w:hAnsi="Times New Roman" w:cs="Times New Roman"/>
          <w:b/>
          <w:i/>
          <w:sz w:val="28"/>
          <w:szCs w:val="28"/>
        </w:rPr>
        <w:t>278</w:t>
      </w:r>
      <w:r w:rsidR="004525FB" w:rsidRPr="002566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F40" w:rsidRPr="002566B1">
        <w:rPr>
          <w:rFonts w:ascii="Times New Roman" w:hAnsi="Times New Roman" w:cs="Times New Roman"/>
          <w:i/>
          <w:sz w:val="28"/>
          <w:szCs w:val="28"/>
        </w:rPr>
        <w:t>шт.</w:t>
      </w:r>
      <w:r w:rsidR="002566B1">
        <w:rPr>
          <w:rFonts w:ascii="Times New Roman" w:hAnsi="Times New Roman" w:cs="Times New Roman"/>
          <w:i/>
          <w:sz w:val="28"/>
          <w:szCs w:val="28"/>
        </w:rPr>
        <w:t>)</w:t>
      </w:r>
      <w:r w:rsidR="004525FB" w:rsidRPr="00C2212D">
        <w:rPr>
          <w:rFonts w:ascii="Times New Roman" w:hAnsi="Times New Roman" w:cs="Times New Roman"/>
          <w:sz w:val="28"/>
          <w:szCs w:val="28"/>
        </w:rPr>
        <w:t xml:space="preserve">, что </w:t>
      </w:r>
      <w:r w:rsidR="009F7804" w:rsidRPr="00C2212D">
        <w:rPr>
          <w:rFonts w:ascii="Times New Roman" w:hAnsi="Times New Roman" w:cs="Times New Roman"/>
          <w:sz w:val="28"/>
          <w:szCs w:val="28"/>
        </w:rPr>
        <w:t xml:space="preserve">свидетельствует </w:t>
      </w:r>
      <w:r w:rsidR="004525FB" w:rsidRPr="00C2212D">
        <w:rPr>
          <w:rFonts w:ascii="Times New Roman" w:hAnsi="Times New Roman" w:cs="Times New Roman"/>
          <w:sz w:val="28"/>
          <w:szCs w:val="28"/>
        </w:rPr>
        <w:t xml:space="preserve"> о </w:t>
      </w:r>
      <w:r w:rsidR="001F5AE0" w:rsidRPr="00C2212D">
        <w:rPr>
          <w:rFonts w:ascii="Times New Roman" w:hAnsi="Times New Roman" w:cs="Times New Roman"/>
          <w:sz w:val="28"/>
          <w:szCs w:val="28"/>
        </w:rPr>
        <w:t xml:space="preserve">резком снижении </w:t>
      </w:r>
      <w:r w:rsidR="004525FB" w:rsidRPr="00C2212D">
        <w:rPr>
          <w:rFonts w:ascii="Times New Roman" w:hAnsi="Times New Roman" w:cs="Times New Roman"/>
          <w:sz w:val="28"/>
          <w:szCs w:val="28"/>
        </w:rPr>
        <w:t>каче</w:t>
      </w:r>
      <w:r w:rsidR="001F5AE0" w:rsidRPr="00C2212D">
        <w:rPr>
          <w:rFonts w:ascii="Times New Roman" w:hAnsi="Times New Roman" w:cs="Times New Roman"/>
          <w:sz w:val="28"/>
          <w:szCs w:val="28"/>
        </w:rPr>
        <w:t xml:space="preserve">ства подготовленных документов, в большинстве случаев в связи с существенными изменениями законодательства по определению начальной </w:t>
      </w:r>
      <w:r w:rsidR="002566B1">
        <w:rPr>
          <w:rFonts w:ascii="Times New Roman" w:hAnsi="Times New Roman" w:cs="Times New Roman"/>
          <w:sz w:val="28"/>
          <w:szCs w:val="28"/>
        </w:rPr>
        <w:t>(</w:t>
      </w:r>
      <w:r w:rsidR="001F5AE0" w:rsidRPr="00C2212D">
        <w:rPr>
          <w:rFonts w:ascii="Times New Roman" w:hAnsi="Times New Roman" w:cs="Times New Roman"/>
          <w:sz w:val="28"/>
          <w:szCs w:val="28"/>
        </w:rPr>
        <w:t>максимальной</w:t>
      </w:r>
      <w:r w:rsidR="002566B1">
        <w:rPr>
          <w:rFonts w:ascii="Times New Roman" w:hAnsi="Times New Roman" w:cs="Times New Roman"/>
          <w:sz w:val="28"/>
          <w:szCs w:val="28"/>
        </w:rPr>
        <w:t>)</w:t>
      </w:r>
      <w:r w:rsidR="001F5AE0" w:rsidRPr="00C2212D">
        <w:rPr>
          <w:rFonts w:ascii="Times New Roman" w:hAnsi="Times New Roman" w:cs="Times New Roman"/>
          <w:sz w:val="28"/>
          <w:szCs w:val="28"/>
        </w:rPr>
        <w:t xml:space="preserve"> цены при закупках лекарственных</w:t>
      </w:r>
      <w:proofErr w:type="gramEnd"/>
      <w:r w:rsidR="001F5AE0" w:rsidRPr="00C2212D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CB7444" w:rsidRPr="00C2212D" w:rsidRDefault="00CB7444" w:rsidP="00613955">
      <w:pPr>
        <w:widowControl/>
        <w:autoSpaceDE/>
        <w:autoSpaceDN/>
        <w:adjustRightInd/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C2212D">
        <w:rPr>
          <w:rFonts w:ascii="Times New Roman" w:eastAsiaTheme="minorHAnsi" w:hAnsi="Times New Roman" w:cs="Times New Roman"/>
          <w:i/>
          <w:lang w:eastAsia="en-US"/>
        </w:rPr>
        <w:t>Таблица №</w:t>
      </w:r>
      <w:r w:rsidR="00D44B2C" w:rsidRPr="00C2212D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="003554BF" w:rsidRPr="00C2212D">
        <w:rPr>
          <w:rFonts w:ascii="Times New Roman" w:eastAsiaTheme="minorHAnsi" w:hAnsi="Times New Roman" w:cs="Times New Roman"/>
          <w:i/>
          <w:lang w:eastAsia="en-US"/>
        </w:rPr>
        <w:t>4</w:t>
      </w:r>
      <w:r w:rsidRPr="00C2212D">
        <w:rPr>
          <w:rFonts w:ascii="Times New Roman" w:eastAsiaTheme="minorHAnsi" w:hAnsi="Times New Roman" w:cs="Times New Roman"/>
          <w:i/>
          <w:lang w:eastAsia="en-US"/>
        </w:rPr>
        <w:t xml:space="preserve"> </w:t>
      </w:r>
    </w:p>
    <w:p w:rsidR="00CB7444" w:rsidRPr="00C2212D" w:rsidRDefault="00CB7444" w:rsidP="00613955">
      <w:pPr>
        <w:widowControl/>
        <w:autoSpaceDE/>
        <w:autoSpaceDN/>
        <w:adjustRightInd/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C2212D">
        <w:rPr>
          <w:rFonts w:ascii="Times New Roman" w:eastAsiaTheme="minorHAnsi" w:hAnsi="Times New Roman" w:cs="Times New Roman"/>
          <w:i/>
          <w:lang w:eastAsia="en-US"/>
        </w:rPr>
        <w:t xml:space="preserve">Количество нарушений, выявленных Департаментом в ходе рассмотрения заявок </w:t>
      </w:r>
    </w:p>
    <w:p w:rsidR="00CB7444" w:rsidRPr="00C2212D" w:rsidRDefault="00CB7444" w:rsidP="003554BF">
      <w:pPr>
        <w:widowControl/>
        <w:autoSpaceDE/>
        <w:autoSpaceDN/>
        <w:adjustRightInd/>
        <w:spacing w:line="312" w:lineRule="auto"/>
        <w:ind w:firstLine="539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Style w:val="a8"/>
        <w:tblW w:w="0" w:type="auto"/>
        <w:jc w:val="center"/>
        <w:tblInd w:w="-838" w:type="dxa"/>
        <w:tblLook w:val="04A0" w:firstRow="1" w:lastRow="0" w:firstColumn="1" w:lastColumn="0" w:noHBand="0" w:noVBand="1"/>
      </w:tblPr>
      <w:tblGrid>
        <w:gridCol w:w="4470"/>
        <w:gridCol w:w="2055"/>
        <w:gridCol w:w="2554"/>
      </w:tblGrid>
      <w:tr w:rsidR="00934F0D" w:rsidRPr="00C2212D" w:rsidTr="00786D28">
        <w:trPr>
          <w:jc w:val="center"/>
        </w:trPr>
        <w:tc>
          <w:tcPr>
            <w:tcW w:w="4470" w:type="dxa"/>
          </w:tcPr>
          <w:p w:rsidR="00934F0D" w:rsidRPr="00C2212D" w:rsidRDefault="00934F0D" w:rsidP="00613955">
            <w:pPr>
              <w:widowControl/>
              <w:autoSpaceDE/>
              <w:autoSpaceDN/>
              <w:adjustRightInd/>
              <w:spacing w:line="312" w:lineRule="auto"/>
              <w:ind w:firstLine="53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:rsidR="00934F0D" w:rsidRPr="00C2212D" w:rsidRDefault="00736264" w:rsidP="00736264">
            <w:pPr>
              <w:widowControl/>
              <w:autoSpaceDE/>
              <w:autoSpaceDN/>
              <w:adjustRightInd/>
              <w:ind w:hanging="18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2212D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I</w:t>
            </w:r>
            <w:r w:rsidRPr="00C2212D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полугодие 2017</w:t>
            </w:r>
            <w:r w:rsidRPr="00C2212D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 xml:space="preserve"> </w:t>
            </w:r>
            <w:r w:rsidRPr="00C2212D">
              <w:rPr>
                <w:rFonts w:ascii="Times New Roman" w:eastAsiaTheme="minorHAnsi" w:hAnsi="Times New Roman" w:cs="Times New Roman"/>
                <w:b/>
                <w:lang w:eastAsia="en-US"/>
              </w:rPr>
              <w:t>года</w:t>
            </w:r>
          </w:p>
        </w:tc>
        <w:tc>
          <w:tcPr>
            <w:tcW w:w="2554" w:type="dxa"/>
            <w:vAlign w:val="center"/>
          </w:tcPr>
          <w:p w:rsidR="00934F0D" w:rsidRPr="00C2212D" w:rsidRDefault="00736264" w:rsidP="00736264">
            <w:pPr>
              <w:widowControl/>
              <w:autoSpaceDE/>
              <w:autoSpaceDN/>
              <w:adjustRightInd/>
              <w:ind w:firstLine="105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2212D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I</w:t>
            </w:r>
            <w:r w:rsidRPr="00C2212D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полугодие 2018 года</w:t>
            </w:r>
          </w:p>
        </w:tc>
      </w:tr>
      <w:tr w:rsidR="00934F0D" w:rsidRPr="00C2212D" w:rsidTr="00786D28">
        <w:trPr>
          <w:jc w:val="center"/>
        </w:trPr>
        <w:tc>
          <w:tcPr>
            <w:tcW w:w="4470" w:type="dxa"/>
            <w:vAlign w:val="center"/>
          </w:tcPr>
          <w:p w:rsidR="00934F0D" w:rsidRPr="00C2212D" w:rsidRDefault="00934F0D" w:rsidP="00211A63">
            <w:pPr>
              <w:widowControl/>
              <w:autoSpaceDE/>
              <w:autoSpaceDN/>
              <w:adjustRightInd/>
              <w:ind w:firstLine="38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C2212D">
              <w:rPr>
                <w:rFonts w:ascii="Times New Roman" w:eastAsiaTheme="minorHAnsi" w:hAnsi="Times New Roman" w:cs="Times New Roman"/>
                <w:lang w:eastAsia="en-US"/>
              </w:rPr>
              <w:t>Количество выявленных нарушений</w:t>
            </w:r>
          </w:p>
        </w:tc>
        <w:tc>
          <w:tcPr>
            <w:tcW w:w="2055" w:type="dxa"/>
            <w:vAlign w:val="center"/>
          </w:tcPr>
          <w:p w:rsidR="00934F0D" w:rsidRPr="00C2212D" w:rsidRDefault="00736264" w:rsidP="00211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2212D">
              <w:rPr>
                <w:rFonts w:ascii="Times New Roman" w:eastAsiaTheme="minorHAnsi" w:hAnsi="Times New Roman" w:cs="Times New Roman"/>
                <w:lang w:val="en-US" w:eastAsia="en-US"/>
              </w:rPr>
              <w:t>149</w:t>
            </w:r>
          </w:p>
        </w:tc>
        <w:tc>
          <w:tcPr>
            <w:tcW w:w="2554" w:type="dxa"/>
            <w:vAlign w:val="center"/>
          </w:tcPr>
          <w:p w:rsidR="00934F0D" w:rsidRPr="00C2212D" w:rsidRDefault="00736264" w:rsidP="00211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2212D">
              <w:rPr>
                <w:rFonts w:ascii="Times New Roman" w:eastAsiaTheme="minorHAnsi" w:hAnsi="Times New Roman" w:cs="Times New Roman"/>
                <w:lang w:val="en-US" w:eastAsia="en-US"/>
              </w:rPr>
              <w:t>278</w:t>
            </w:r>
          </w:p>
        </w:tc>
      </w:tr>
      <w:tr w:rsidR="00934F0D" w:rsidRPr="00C2212D" w:rsidTr="00786D28">
        <w:trPr>
          <w:jc w:val="center"/>
        </w:trPr>
        <w:tc>
          <w:tcPr>
            <w:tcW w:w="4470" w:type="dxa"/>
            <w:vAlign w:val="center"/>
          </w:tcPr>
          <w:p w:rsidR="00934F0D" w:rsidRPr="00C2212D" w:rsidRDefault="00934F0D" w:rsidP="00211A63">
            <w:pPr>
              <w:widowControl/>
              <w:autoSpaceDE/>
              <w:autoSpaceDN/>
              <w:adjustRightInd/>
              <w:ind w:firstLine="38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C2212D">
              <w:rPr>
                <w:rFonts w:ascii="Times New Roman" w:eastAsiaTheme="minorHAnsi" w:hAnsi="Times New Roman" w:cs="Times New Roman"/>
                <w:lang w:eastAsia="en-US"/>
              </w:rPr>
              <w:t>Доля от общего количества рассмотренных заявок</w:t>
            </w:r>
          </w:p>
        </w:tc>
        <w:tc>
          <w:tcPr>
            <w:tcW w:w="2055" w:type="dxa"/>
            <w:vAlign w:val="center"/>
          </w:tcPr>
          <w:p w:rsidR="00934F0D" w:rsidRPr="00C2212D" w:rsidRDefault="00786D28" w:rsidP="00211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212D">
              <w:rPr>
                <w:rFonts w:ascii="Times New Roman" w:eastAsiaTheme="minorHAnsi" w:hAnsi="Times New Roman" w:cs="Times New Roman"/>
                <w:lang w:val="en-US" w:eastAsia="en-US"/>
              </w:rPr>
              <w:t>41</w:t>
            </w:r>
            <w:r w:rsidRPr="00C2212D">
              <w:rPr>
                <w:rFonts w:ascii="Times New Roman" w:eastAsiaTheme="minorHAnsi" w:hAnsi="Times New Roman" w:cs="Times New Roman"/>
                <w:lang w:eastAsia="en-US"/>
              </w:rPr>
              <w:t>,5</w:t>
            </w:r>
          </w:p>
        </w:tc>
        <w:tc>
          <w:tcPr>
            <w:tcW w:w="2554" w:type="dxa"/>
            <w:vAlign w:val="center"/>
          </w:tcPr>
          <w:p w:rsidR="00934F0D" w:rsidRPr="00C2212D" w:rsidRDefault="00786D28" w:rsidP="00211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2212D">
              <w:rPr>
                <w:rFonts w:ascii="Times New Roman" w:eastAsiaTheme="minorHAnsi" w:hAnsi="Times New Roman" w:cs="Times New Roman"/>
                <w:lang w:eastAsia="en-US"/>
              </w:rPr>
              <w:t>80,6</w:t>
            </w:r>
          </w:p>
        </w:tc>
      </w:tr>
      <w:tr w:rsidR="00934F0D" w:rsidRPr="00C2212D" w:rsidTr="00786D28">
        <w:trPr>
          <w:jc w:val="center"/>
        </w:trPr>
        <w:tc>
          <w:tcPr>
            <w:tcW w:w="4470" w:type="dxa"/>
            <w:vAlign w:val="center"/>
          </w:tcPr>
          <w:p w:rsidR="00934F0D" w:rsidRPr="00C2212D" w:rsidRDefault="00934F0D" w:rsidP="00211A63">
            <w:pPr>
              <w:widowControl/>
              <w:autoSpaceDE/>
              <w:autoSpaceDN/>
              <w:adjustRightInd/>
              <w:ind w:firstLine="38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C2212D">
              <w:rPr>
                <w:rFonts w:ascii="Times New Roman" w:eastAsiaTheme="minorHAnsi" w:hAnsi="Times New Roman" w:cs="Times New Roman"/>
                <w:lang w:eastAsia="en-US"/>
              </w:rPr>
              <w:t>Сумма снижения начальной (максимальной) цены по результатам рассмотрения заявок</w:t>
            </w:r>
          </w:p>
        </w:tc>
        <w:tc>
          <w:tcPr>
            <w:tcW w:w="2055" w:type="dxa"/>
            <w:vAlign w:val="center"/>
          </w:tcPr>
          <w:p w:rsidR="00934F0D" w:rsidRPr="00C2212D" w:rsidRDefault="00786D28" w:rsidP="00211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212D">
              <w:rPr>
                <w:rFonts w:ascii="Times New Roman" w:eastAsiaTheme="minorHAnsi" w:hAnsi="Times New Roman" w:cs="Times New Roman"/>
                <w:lang w:eastAsia="en-US"/>
              </w:rPr>
              <w:t>9,54 млн. рублей</w:t>
            </w:r>
          </w:p>
        </w:tc>
        <w:tc>
          <w:tcPr>
            <w:tcW w:w="2554" w:type="dxa"/>
            <w:vAlign w:val="center"/>
          </w:tcPr>
          <w:p w:rsidR="00934F0D" w:rsidRPr="00C2212D" w:rsidRDefault="00786D28" w:rsidP="00211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212D">
              <w:rPr>
                <w:rFonts w:ascii="Times New Roman" w:eastAsiaTheme="minorHAnsi" w:hAnsi="Times New Roman" w:cs="Times New Roman"/>
                <w:lang w:eastAsia="en-US"/>
              </w:rPr>
              <w:t>8,63 млн. рублей</w:t>
            </w:r>
          </w:p>
        </w:tc>
      </w:tr>
    </w:tbl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По итога</w:t>
      </w:r>
      <w:r w:rsidR="00290E02" w:rsidRPr="00C2212D">
        <w:rPr>
          <w:rFonts w:ascii="Times New Roman" w:hAnsi="Times New Roman" w:cs="Times New Roman"/>
          <w:sz w:val="28"/>
          <w:szCs w:val="28"/>
        </w:rPr>
        <w:t>м рассмотрения Департаментом в первом полугодии 2018</w:t>
      </w:r>
      <w:r w:rsidRPr="00C2212D">
        <w:rPr>
          <w:rFonts w:ascii="Times New Roman" w:hAnsi="Times New Roman" w:cs="Times New Roman"/>
          <w:sz w:val="28"/>
          <w:szCs w:val="28"/>
        </w:rPr>
        <w:t xml:space="preserve"> год</w:t>
      </w:r>
      <w:r w:rsidR="00290E02" w:rsidRPr="00C2212D">
        <w:rPr>
          <w:rFonts w:ascii="Times New Roman" w:hAnsi="Times New Roman" w:cs="Times New Roman"/>
          <w:sz w:val="28"/>
          <w:szCs w:val="28"/>
        </w:rPr>
        <w:t>а</w:t>
      </w:r>
      <w:r w:rsidRPr="00C2212D">
        <w:rPr>
          <w:rFonts w:ascii="Times New Roman" w:hAnsi="Times New Roman" w:cs="Times New Roman"/>
          <w:sz w:val="28"/>
          <w:szCs w:val="28"/>
        </w:rPr>
        <w:t xml:space="preserve"> заявок заказчиков на предмет соответствия требованиям законодательства о контрактной системе в сфере закупок выявлены следующие основные нарушения:</w:t>
      </w:r>
    </w:p>
    <w:p w:rsidR="00CB7444" w:rsidRPr="00464F40" w:rsidRDefault="00CB7444" w:rsidP="00464F40">
      <w:pPr>
        <w:numPr>
          <w:ilvl w:val="0"/>
          <w:numId w:val="9"/>
        </w:numPr>
        <w:spacing w:line="312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64F40">
        <w:rPr>
          <w:rFonts w:ascii="Times New Roman" w:hAnsi="Times New Roman" w:cs="Times New Roman"/>
          <w:sz w:val="28"/>
          <w:szCs w:val="28"/>
        </w:rPr>
        <w:t xml:space="preserve">при размещении заказчиками планов-графиков и направлении </w:t>
      </w:r>
      <w:r w:rsidRPr="00464F40">
        <w:rPr>
          <w:rFonts w:ascii="Times New Roman" w:hAnsi="Times New Roman" w:cs="Times New Roman"/>
          <w:sz w:val="28"/>
          <w:szCs w:val="28"/>
        </w:rPr>
        <w:lastRenderedPageBreak/>
        <w:t xml:space="preserve">заявок в </w:t>
      </w:r>
      <w:r w:rsidR="003F6149" w:rsidRPr="00464F40">
        <w:rPr>
          <w:rFonts w:ascii="Times New Roman" w:hAnsi="Times New Roman" w:cs="Times New Roman"/>
          <w:sz w:val="28"/>
          <w:szCs w:val="28"/>
        </w:rPr>
        <w:t>Департамент</w:t>
      </w:r>
      <w:r w:rsidRPr="00464F40">
        <w:rPr>
          <w:rFonts w:ascii="Times New Roman" w:hAnsi="Times New Roman" w:cs="Times New Roman"/>
          <w:sz w:val="28"/>
          <w:szCs w:val="28"/>
        </w:rPr>
        <w:t xml:space="preserve"> не всегда учитываются сроки на подготовку и осуществление закупок (подготовка документации, подача заявок участников закупки, подведение итогов закупки, заключение и исполнение контракта, в том числе сроки рассмотрения заявок</w:t>
      </w:r>
      <w:r w:rsidR="00D529E9" w:rsidRPr="00464F40">
        <w:rPr>
          <w:rFonts w:ascii="Times New Roman" w:hAnsi="Times New Roman" w:cs="Times New Roman"/>
          <w:sz w:val="28"/>
          <w:szCs w:val="28"/>
        </w:rPr>
        <w:t xml:space="preserve"> </w:t>
      </w:r>
      <w:r w:rsidRPr="00464F40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Департаментом, установленные порядком, утверждённым постановлением Правительства Свердловской области от 27.12.2013№ 1665-ПП);</w:t>
      </w:r>
      <w:proofErr w:type="gramEnd"/>
    </w:p>
    <w:p w:rsidR="00CB7444" w:rsidRPr="00C2212D" w:rsidRDefault="00CB7444" w:rsidP="00CF4E75">
      <w:pPr>
        <w:numPr>
          <w:ilvl w:val="0"/>
          <w:numId w:val="9"/>
        </w:numPr>
        <w:spacing w:line="312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2212D">
        <w:rPr>
          <w:rFonts w:ascii="Times New Roman" w:hAnsi="Times New Roman" w:cs="Times New Roman"/>
          <w:sz w:val="28"/>
          <w:szCs w:val="28"/>
          <w:u w:val="single"/>
        </w:rPr>
        <w:t>в части документации о закупке:</w:t>
      </w: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– установление незаконных требований к участникам закупки (в том числе с признаками ограничения конкуренции) или </w:t>
      </w:r>
      <w:proofErr w:type="spellStart"/>
      <w:r w:rsidRPr="00C2212D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C2212D">
        <w:rPr>
          <w:rFonts w:ascii="Times New Roman" w:hAnsi="Times New Roman" w:cs="Times New Roman"/>
          <w:sz w:val="28"/>
          <w:szCs w:val="28"/>
        </w:rPr>
        <w:t xml:space="preserve"> необходимых требований к участникам закупки;</w:t>
      </w: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– нарушения при формировании описания объекта закупки (установление характеристик товара, не соответствующих ГОСТам, техническим регламентам или стандартам; установление характеристик конкретного товара (торговой марки), влекущих ограничение конкуренции, установление несуществующих характеристик товара);</w:t>
      </w: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– несоответствие описания объекта закупки инструкции по заполнению заявки участником закупки;</w:t>
      </w: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– нарушения в части подготовки проектов контрактов; </w:t>
      </w: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– нарушения при формировании начальной (максимальной) цены контракта.</w:t>
      </w: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Наибольшее количество нарушений </w:t>
      </w:r>
      <w:proofErr w:type="gramStart"/>
      <w:r w:rsidRPr="00C2212D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C2212D">
        <w:rPr>
          <w:rFonts w:ascii="Times New Roman" w:hAnsi="Times New Roman" w:cs="Times New Roman"/>
          <w:sz w:val="28"/>
          <w:szCs w:val="28"/>
        </w:rPr>
        <w:t xml:space="preserve"> Департаментом при рассмотрении заявок заказчиков Свердловской области по следующим предметам закупок: </w:t>
      </w:r>
    </w:p>
    <w:p w:rsidR="00CB7444" w:rsidRPr="00C2212D" w:rsidRDefault="00420367" w:rsidP="00CF4E75">
      <w:pPr>
        <w:numPr>
          <w:ilvl w:val="0"/>
          <w:numId w:val="10"/>
        </w:numPr>
        <w:spacing w:line="312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CB7444" w:rsidRPr="00C2212D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строительству, ремонту зданий и помещений; </w:t>
      </w:r>
    </w:p>
    <w:p w:rsidR="00CB7444" w:rsidRPr="00C2212D" w:rsidRDefault="00420367" w:rsidP="00CF4E75">
      <w:pPr>
        <w:numPr>
          <w:ilvl w:val="0"/>
          <w:numId w:val="10"/>
        </w:numPr>
        <w:spacing w:line="312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CB7444" w:rsidRPr="00C2212D">
        <w:rPr>
          <w:rFonts w:ascii="Times New Roman" w:hAnsi="Times New Roman" w:cs="Times New Roman"/>
          <w:sz w:val="28"/>
          <w:szCs w:val="28"/>
        </w:rPr>
        <w:t>поставка медицинского оборудования и изделий медицинского назначения.</w:t>
      </w: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частью </w:t>
      </w:r>
      <w:r w:rsidRPr="00C2212D">
        <w:rPr>
          <w:rFonts w:ascii="Times New Roman" w:hAnsi="Times New Roman" w:cs="Times New Roman"/>
          <w:sz w:val="28"/>
          <w:szCs w:val="28"/>
        </w:rPr>
        <w:t xml:space="preserve">4 статьи 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>26 «</w:t>
      </w:r>
      <w:r w:rsidR="00BD46B7" w:rsidRPr="00C2212D">
        <w:rPr>
          <w:rFonts w:ascii="Times New Roman" w:hAnsi="Times New Roman" w:cs="Times New Roman"/>
          <w:bCs/>
          <w:iCs/>
          <w:sz w:val="28"/>
          <w:szCs w:val="28"/>
        </w:rPr>
        <w:t>Централизованные закупки» Закона о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контрактной системе </w:t>
      </w:r>
      <w:r w:rsidR="003F6149" w:rsidRPr="00C2212D">
        <w:rPr>
          <w:rFonts w:ascii="Times New Roman" w:hAnsi="Times New Roman" w:cs="Times New Roman"/>
          <w:bCs/>
          <w:iCs/>
          <w:sz w:val="28"/>
          <w:szCs w:val="28"/>
        </w:rPr>
        <w:t>Департамент</w:t>
      </w:r>
      <w:r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как уполномоченный орган вправе осуществлять полномочия уполномоченного органа для муниципальных заказчиков на определение поставщиков (подрядчиков, исполнителей) на основании соглашений между Свердловской областью и муниципальными образованиями Свердловской области. </w:t>
      </w:r>
    </w:p>
    <w:p w:rsidR="00BD46B7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D46B7" w:rsidRPr="00C2212D">
        <w:rPr>
          <w:rFonts w:ascii="Times New Roman" w:hAnsi="Times New Roman" w:cs="Times New Roman"/>
          <w:sz w:val="28"/>
          <w:szCs w:val="28"/>
        </w:rPr>
        <w:t>3</w:t>
      </w:r>
      <w:r w:rsidR="00B35ED0" w:rsidRPr="00C2212D">
        <w:rPr>
          <w:rFonts w:ascii="Times New Roman" w:hAnsi="Times New Roman" w:cs="Times New Roman"/>
          <w:sz w:val="28"/>
          <w:szCs w:val="28"/>
        </w:rPr>
        <w:t>0</w:t>
      </w:r>
      <w:r w:rsidR="00BD46B7" w:rsidRPr="00C2212D">
        <w:rPr>
          <w:rFonts w:ascii="Times New Roman" w:hAnsi="Times New Roman" w:cs="Times New Roman"/>
          <w:sz w:val="28"/>
          <w:szCs w:val="28"/>
        </w:rPr>
        <w:t>.</w:t>
      </w:r>
      <w:r w:rsidR="00B35ED0" w:rsidRPr="00C2212D">
        <w:rPr>
          <w:rFonts w:ascii="Times New Roman" w:hAnsi="Times New Roman" w:cs="Times New Roman"/>
          <w:sz w:val="28"/>
          <w:szCs w:val="28"/>
        </w:rPr>
        <w:t>06</w:t>
      </w:r>
      <w:r w:rsidRPr="00C2212D">
        <w:rPr>
          <w:rFonts w:ascii="Times New Roman" w:hAnsi="Times New Roman" w:cs="Times New Roman"/>
          <w:sz w:val="28"/>
          <w:szCs w:val="28"/>
        </w:rPr>
        <w:t>.201</w:t>
      </w:r>
      <w:r w:rsidR="00B35ED0" w:rsidRPr="00C2212D">
        <w:rPr>
          <w:rFonts w:ascii="Times New Roman" w:hAnsi="Times New Roman" w:cs="Times New Roman"/>
          <w:sz w:val="28"/>
          <w:szCs w:val="28"/>
        </w:rPr>
        <w:t>8</w:t>
      </w:r>
      <w:r w:rsidRPr="00C2212D">
        <w:rPr>
          <w:rFonts w:ascii="Times New Roman" w:hAnsi="Times New Roman" w:cs="Times New Roman"/>
          <w:sz w:val="28"/>
          <w:szCs w:val="28"/>
        </w:rPr>
        <w:t xml:space="preserve"> соглашения о передаче Департаменту полномочий на определение поставщиков (подрядчиков, исполнителей) при </w:t>
      </w:r>
      <w:r w:rsidRPr="00C2212D">
        <w:rPr>
          <w:rFonts w:ascii="Times New Roman" w:hAnsi="Times New Roman" w:cs="Times New Roman"/>
          <w:sz w:val="28"/>
          <w:szCs w:val="28"/>
        </w:rPr>
        <w:lastRenderedPageBreak/>
        <w:t>расходовании средств субсидий, предоставляемых из бюджета Свердловской области, в случаях</w:t>
      </w:r>
      <w:r w:rsidR="00B26692" w:rsidRPr="00C2212D">
        <w:rPr>
          <w:rFonts w:ascii="Times New Roman" w:hAnsi="Times New Roman" w:cs="Times New Roman"/>
          <w:sz w:val="28"/>
          <w:szCs w:val="28"/>
        </w:rPr>
        <w:t>,</w:t>
      </w:r>
      <w:r w:rsidRPr="00C2212D">
        <w:rPr>
          <w:rFonts w:ascii="Times New Roman" w:hAnsi="Times New Roman" w:cs="Times New Roman"/>
          <w:sz w:val="28"/>
          <w:szCs w:val="28"/>
        </w:rPr>
        <w:t xml:space="preserve"> если начальная (максимальная) цена контракта составляет 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="00E101F9" w:rsidRPr="00C2212D">
        <w:rPr>
          <w:rFonts w:ascii="Times New Roman" w:hAnsi="Times New Roman" w:cs="Times New Roman"/>
          <w:b/>
          <w:i/>
          <w:sz w:val="28"/>
          <w:szCs w:val="28"/>
        </w:rPr>
        <w:t>млн. рублей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и более, заключены </w:t>
      </w:r>
      <w:r w:rsidR="0050308A" w:rsidRPr="00C2212D">
        <w:rPr>
          <w:rFonts w:ascii="Times New Roman" w:hAnsi="Times New Roman" w:cs="Times New Roman"/>
          <w:sz w:val="28"/>
          <w:szCs w:val="28"/>
        </w:rPr>
        <w:t xml:space="preserve">с </w:t>
      </w:r>
      <w:r w:rsidR="00F54D0B" w:rsidRPr="00C2212D">
        <w:rPr>
          <w:rFonts w:ascii="Times New Roman" w:hAnsi="Times New Roman" w:cs="Times New Roman"/>
          <w:b/>
          <w:i/>
          <w:sz w:val="28"/>
          <w:szCs w:val="28"/>
        </w:rPr>
        <w:t>81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 w:rsidR="00A76B8F">
        <w:rPr>
          <w:rFonts w:ascii="Times New Roman" w:hAnsi="Times New Roman" w:cs="Times New Roman"/>
          <w:sz w:val="28"/>
          <w:szCs w:val="28"/>
        </w:rPr>
        <w:t>ем</w:t>
      </w:r>
      <w:r w:rsidRPr="00C22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6B1" w:rsidRDefault="00B1570B" w:rsidP="00B1570B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Не заключены соглашения </w:t>
      </w:r>
      <w:r w:rsidR="002566B1" w:rsidRPr="002566B1">
        <w:rPr>
          <w:rFonts w:ascii="Times New Roman" w:hAnsi="Times New Roman" w:cs="Times New Roman"/>
          <w:sz w:val="28"/>
          <w:szCs w:val="28"/>
        </w:rPr>
        <w:t>со следующими муниципальными образованиями</w:t>
      </w:r>
      <w:r w:rsidR="002566B1">
        <w:rPr>
          <w:rFonts w:ascii="Times New Roman" w:hAnsi="Times New Roman" w:cs="Times New Roman"/>
          <w:sz w:val="28"/>
          <w:szCs w:val="28"/>
        </w:rPr>
        <w:t>: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1)</w:t>
      </w:r>
      <w:r w:rsidRPr="002566B1">
        <w:rPr>
          <w:rFonts w:ascii="Times New Roman" w:hAnsi="Times New Roman" w:cs="Times New Roman"/>
          <w:sz w:val="28"/>
          <w:szCs w:val="28"/>
        </w:rPr>
        <w:tab/>
        <w:t>Березовский городской округ;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2)</w:t>
      </w:r>
      <w:r w:rsidRPr="002566B1">
        <w:rPr>
          <w:rFonts w:ascii="Times New Roman" w:hAnsi="Times New Roman" w:cs="Times New Roman"/>
          <w:sz w:val="28"/>
          <w:szCs w:val="28"/>
        </w:rPr>
        <w:tab/>
        <w:t>муниципальное образование «город Нижний Тагил»;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3)</w:t>
      </w:r>
      <w:r w:rsidRPr="002566B1">
        <w:rPr>
          <w:rFonts w:ascii="Times New Roman" w:hAnsi="Times New Roman" w:cs="Times New Roman"/>
          <w:sz w:val="28"/>
          <w:szCs w:val="28"/>
        </w:rPr>
        <w:tab/>
        <w:t>городской округ «город Лесной»;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4)</w:t>
      </w:r>
      <w:r w:rsidRPr="002566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66B1">
        <w:rPr>
          <w:rFonts w:ascii="Times New Roman" w:hAnsi="Times New Roman" w:cs="Times New Roman"/>
          <w:sz w:val="28"/>
          <w:szCs w:val="28"/>
        </w:rPr>
        <w:t>Дружининское</w:t>
      </w:r>
      <w:proofErr w:type="spellEnd"/>
      <w:r w:rsidRPr="002566B1">
        <w:rPr>
          <w:rFonts w:ascii="Times New Roman" w:hAnsi="Times New Roman" w:cs="Times New Roman"/>
          <w:sz w:val="28"/>
          <w:szCs w:val="28"/>
        </w:rPr>
        <w:t xml:space="preserve"> городское поселение;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5)</w:t>
      </w:r>
      <w:r w:rsidRPr="002566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66B1">
        <w:rPr>
          <w:rFonts w:ascii="Times New Roman" w:hAnsi="Times New Roman" w:cs="Times New Roman"/>
          <w:sz w:val="28"/>
          <w:szCs w:val="28"/>
        </w:rPr>
        <w:t>Ивдельский</w:t>
      </w:r>
      <w:proofErr w:type="spellEnd"/>
      <w:r w:rsidRPr="002566B1">
        <w:rPr>
          <w:rFonts w:ascii="Times New Roman" w:hAnsi="Times New Roman" w:cs="Times New Roman"/>
          <w:sz w:val="28"/>
          <w:szCs w:val="28"/>
        </w:rPr>
        <w:t xml:space="preserve"> городской округ;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6)</w:t>
      </w:r>
      <w:r w:rsidRPr="002566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66B1">
        <w:rPr>
          <w:rFonts w:ascii="Times New Roman" w:hAnsi="Times New Roman" w:cs="Times New Roman"/>
          <w:sz w:val="28"/>
          <w:szCs w:val="28"/>
        </w:rPr>
        <w:t>Кленовское</w:t>
      </w:r>
      <w:proofErr w:type="spellEnd"/>
      <w:r w:rsidRPr="002566B1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7)</w:t>
      </w:r>
      <w:r w:rsidRPr="002566B1">
        <w:rPr>
          <w:rFonts w:ascii="Times New Roman" w:hAnsi="Times New Roman" w:cs="Times New Roman"/>
          <w:sz w:val="28"/>
          <w:szCs w:val="28"/>
        </w:rPr>
        <w:tab/>
        <w:t>муниципальное образование «город Екатеринбург» (есть заключенное соглашение о передаче полномочий на осуществление определения подрядчика по объекту закупки «Строительство и реконструкцию улично-дорожной сети со строительством трамвайной линии в границах муниципального образования «город Екатеринбург»);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8)</w:t>
      </w:r>
      <w:r w:rsidRPr="002566B1">
        <w:rPr>
          <w:rFonts w:ascii="Times New Roman" w:hAnsi="Times New Roman" w:cs="Times New Roman"/>
          <w:sz w:val="28"/>
          <w:szCs w:val="28"/>
        </w:rPr>
        <w:tab/>
        <w:t>муниципальное образование «Зареченское сельское поселение»;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9)</w:t>
      </w:r>
      <w:r w:rsidRPr="002566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66B1">
        <w:rPr>
          <w:rFonts w:ascii="Times New Roman" w:hAnsi="Times New Roman" w:cs="Times New Roman"/>
          <w:sz w:val="28"/>
          <w:szCs w:val="28"/>
        </w:rPr>
        <w:t>Ницинское</w:t>
      </w:r>
      <w:proofErr w:type="spellEnd"/>
      <w:r w:rsidRPr="002566B1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10)</w:t>
      </w:r>
      <w:r w:rsidRPr="002566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66B1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2566B1">
        <w:rPr>
          <w:rFonts w:ascii="Times New Roman" w:hAnsi="Times New Roman" w:cs="Times New Roman"/>
          <w:sz w:val="28"/>
          <w:szCs w:val="28"/>
        </w:rPr>
        <w:t xml:space="preserve"> городской округ;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11)</w:t>
      </w:r>
      <w:r w:rsidRPr="002566B1">
        <w:rPr>
          <w:rFonts w:ascii="Times New Roman" w:hAnsi="Times New Roman" w:cs="Times New Roman"/>
          <w:sz w:val="28"/>
          <w:szCs w:val="28"/>
        </w:rPr>
        <w:tab/>
        <w:t>Унже-</w:t>
      </w:r>
      <w:proofErr w:type="spellStart"/>
      <w:r w:rsidRPr="002566B1">
        <w:rPr>
          <w:rFonts w:ascii="Times New Roman" w:hAnsi="Times New Roman" w:cs="Times New Roman"/>
          <w:sz w:val="28"/>
          <w:szCs w:val="28"/>
        </w:rPr>
        <w:t>Павинское</w:t>
      </w:r>
      <w:proofErr w:type="spellEnd"/>
      <w:r w:rsidRPr="002566B1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2566B1" w:rsidRPr="002566B1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12)</w:t>
      </w:r>
      <w:r w:rsidRPr="002566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66B1">
        <w:rPr>
          <w:rFonts w:ascii="Times New Roman" w:hAnsi="Times New Roman" w:cs="Times New Roman"/>
          <w:sz w:val="28"/>
          <w:szCs w:val="28"/>
        </w:rPr>
        <w:t>Усть-Ницинское</w:t>
      </w:r>
      <w:proofErr w:type="spellEnd"/>
      <w:r w:rsidRPr="002566B1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B1570B" w:rsidRPr="00C2212D" w:rsidRDefault="002566B1" w:rsidP="002566B1">
      <w:pPr>
        <w:tabs>
          <w:tab w:val="left" w:pos="993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66B1">
        <w:rPr>
          <w:rFonts w:ascii="Times New Roman" w:hAnsi="Times New Roman" w:cs="Times New Roman"/>
          <w:sz w:val="28"/>
          <w:szCs w:val="28"/>
        </w:rPr>
        <w:t>13)</w:t>
      </w:r>
      <w:r w:rsidRPr="002566B1">
        <w:rPr>
          <w:rFonts w:ascii="Times New Roman" w:hAnsi="Times New Roman" w:cs="Times New Roman"/>
          <w:sz w:val="28"/>
          <w:szCs w:val="28"/>
        </w:rPr>
        <w:tab/>
        <w:t>Туринский городской округ.</w:t>
      </w:r>
    </w:p>
    <w:p w:rsidR="00D6123F" w:rsidRPr="00C2212D" w:rsidRDefault="00CB7444" w:rsidP="00D6123F">
      <w:pPr>
        <w:spacing w:line="312" w:lineRule="auto"/>
        <w:ind w:firstLine="53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212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CA3D34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первом полугодии 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201</w:t>
      </w:r>
      <w:r w:rsidR="00CA3D34" w:rsidRPr="00C2212D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CA3D34" w:rsidRPr="00C2212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Департаментом рассмотрено </w:t>
      </w:r>
      <w:r w:rsidR="00CA3D34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35</w:t>
      </w:r>
      <w:r w:rsidR="00FF257D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>заявок от муниципальных заказчиков с суммой начальн</w:t>
      </w:r>
      <w:r w:rsidR="00464F40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(максимальн</w:t>
      </w:r>
      <w:r w:rsidR="00464F40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>) цен</w:t>
      </w:r>
      <w:r w:rsidR="00464F40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контрактов </w:t>
      </w:r>
      <w:r w:rsidR="00CA3D34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3 546,78</w:t>
      </w:r>
      <w:r w:rsidR="00FF257D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млн. рублей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D6123F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При рассмотрении заявок муниципальных заказчиков Свердловской области Департаментом выявлены нарушения требований законодательства в сфере закупок в </w:t>
      </w:r>
      <w:r w:rsidR="00F61EB3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99</w:t>
      </w:r>
      <w:r w:rsidR="00D6123F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%</w:t>
      </w:r>
      <w:r w:rsidR="00D6123F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заявок. </w:t>
      </w:r>
    </w:p>
    <w:p w:rsidR="00062759" w:rsidRDefault="00CB7444" w:rsidP="00613955">
      <w:pPr>
        <w:spacing w:line="312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r w:rsidRPr="00D66F2E">
        <w:rPr>
          <w:rFonts w:ascii="Times New Roman" w:hAnsi="Times New Roman" w:cs="Times New Roman"/>
          <w:bCs/>
          <w:iCs/>
          <w:sz w:val="28"/>
          <w:szCs w:val="28"/>
        </w:rPr>
        <w:t>Сам</w:t>
      </w:r>
      <w:r w:rsidR="00062759" w:rsidRPr="00D66F2E">
        <w:rPr>
          <w:rFonts w:ascii="Times New Roman" w:hAnsi="Times New Roman" w:cs="Times New Roman"/>
          <w:bCs/>
          <w:iCs/>
          <w:sz w:val="28"/>
          <w:szCs w:val="28"/>
        </w:rPr>
        <w:t>ые</w:t>
      </w:r>
      <w:r w:rsidRPr="00D66F2E">
        <w:rPr>
          <w:rFonts w:ascii="Times New Roman" w:hAnsi="Times New Roman" w:cs="Times New Roman"/>
          <w:bCs/>
          <w:iCs/>
          <w:sz w:val="28"/>
          <w:szCs w:val="28"/>
        </w:rPr>
        <w:t xml:space="preserve"> крупн</w:t>
      </w:r>
      <w:r w:rsidR="00062759" w:rsidRPr="00D66F2E">
        <w:rPr>
          <w:rFonts w:ascii="Times New Roman" w:hAnsi="Times New Roman" w:cs="Times New Roman"/>
          <w:bCs/>
          <w:iCs/>
          <w:sz w:val="28"/>
          <w:szCs w:val="28"/>
        </w:rPr>
        <w:t>ые</w:t>
      </w:r>
      <w:r w:rsidRPr="00D66F2E">
        <w:rPr>
          <w:rFonts w:ascii="Times New Roman" w:hAnsi="Times New Roman" w:cs="Times New Roman"/>
          <w:bCs/>
          <w:iCs/>
          <w:sz w:val="28"/>
          <w:szCs w:val="28"/>
        </w:rPr>
        <w:t xml:space="preserve"> закупк</w:t>
      </w:r>
      <w:r w:rsidR="00062759" w:rsidRPr="00D66F2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D66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D7722" w:rsidRPr="00D66F2E">
        <w:rPr>
          <w:rFonts w:ascii="Times New Roman" w:hAnsi="Times New Roman" w:cs="Times New Roman"/>
          <w:bCs/>
          <w:iCs/>
          <w:sz w:val="28"/>
          <w:szCs w:val="28"/>
        </w:rPr>
        <w:t xml:space="preserve">среди муниципальных заказчиков Свердловской области, </w:t>
      </w:r>
      <w:r w:rsidR="00DD7742">
        <w:rPr>
          <w:rFonts w:ascii="Times New Roman" w:hAnsi="Times New Roman" w:cs="Times New Roman"/>
          <w:bCs/>
          <w:iCs/>
          <w:sz w:val="28"/>
          <w:szCs w:val="28"/>
        </w:rPr>
        <w:t>опубликованные</w:t>
      </w:r>
      <w:r w:rsidR="009D7722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Департаментом, в </w:t>
      </w:r>
      <w:r w:rsidR="00274997" w:rsidRPr="00C2212D">
        <w:rPr>
          <w:rFonts w:ascii="Times New Roman" w:hAnsi="Times New Roman" w:cs="Times New Roman"/>
          <w:bCs/>
          <w:iCs/>
          <w:sz w:val="28"/>
          <w:szCs w:val="28"/>
        </w:rPr>
        <w:t>первом полугодии  2018 года</w:t>
      </w:r>
      <w:r w:rsidR="00062759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274997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62759" w:rsidRDefault="00062759" w:rsidP="00613955">
      <w:pPr>
        <w:spacing w:line="312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– </w:t>
      </w:r>
      <w:r w:rsidRPr="00062759">
        <w:rPr>
          <w:rFonts w:ascii="Times New Roman" w:hAnsi="Times New Roman" w:cs="Times New Roman"/>
          <w:bCs/>
          <w:iCs/>
          <w:sz w:val="28"/>
          <w:szCs w:val="28"/>
        </w:rPr>
        <w:t xml:space="preserve">«Строительство и реконструкция улично-дорожной сети со строительством трамвайной линии в границах городского округа Верхняя Пышма и муниципального </w:t>
      </w:r>
      <w:r w:rsidR="002566B1">
        <w:rPr>
          <w:rFonts w:ascii="Times New Roman" w:hAnsi="Times New Roman" w:cs="Times New Roman"/>
          <w:bCs/>
          <w:iCs/>
          <w:sz w:val="28"/>
          <w:szCs w:val="28"/>
        </w:rPr>
        <w:t>образования «город Екатеринбург</w:t>
      </w:r>
      <w:r w:rsidRPr="00C2212D">
        <w:rPr>
          <w:rFonts w:ascii="Times New Roman" w:hAnsi="Times New Roman" w:cs="Times New Roman"/>
          <w:sz w:val="28"/>
          <w:szCs w:val="28"/>
        </w:rPr>
        <w:t>»</w:t>
      </w:r>
      <w:r w:rsidRPr="00062759">
        <w:rPr>
          <w:rFonts w:ascii="Times New Roman" w:hAnsi="Times New Roman" w:cs="Times New Roman"/>
          <w:bCs/>
          <w:iCs/>
          <w:sz w:val="28"/>
          <w:szCs w:val="28"/>
        </w:rPr>
        <w:t xml:space="preserve"> с начальной (максимальной) ценой контракта – </w:t>
      </w:r>
      <w:r w:rsidRPr="000627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2 124, 00 млн. рублей</w:t>
      </w:r>
      <w:r w:rsidRPr="00062759">
        <w:rPr>
          <w:rFonts w:ascii="Times New Roman" w:hAnsi="Times New Roman" w:cs="Times New Roman"/>
          <w:bCs/>
          <w:iCs/>
          <w:sz w:val="28"/>
          <w:szCs w:val="28"/>
        </w:rPr>
        <w:t>, в котор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062759">
        <w:rPr>
          <w:rFonts w:ascii="Times New Roman" w:hAnsi="Times New Roman" w:cs="Times New Roman"/>
          <w:bCs/>
          <w:iCs/>
          <w:sz w:val="28"/>
          <w:szCs w:val="28"/>
        </w:rPr>
        <w:t xml:space="preserve"> заказчиками выступили муниципальное казенное учреждение «Управление капитального строительства города Екатеринбурга» и Муниципальное </w:t>
      </w:r>
      <w:r w:rsidRPr="0006275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бюджетное учреждение «Управление капитального строительства и стратегического развития городского округа Верхняя Пышма»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proofErr w:type="gramEnd"/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62759" w:rsidRPr="00062759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062759" w:rsidRPr="00062759">
        <w:rPr>
          <w:rFonts w:ascii="Times New Roman" w:hAnsi="Times New Roman" w:cs="Times New Roman"/>
          <w:bCs/>
          <w:iCs/>
          <w:sz w:val="28"/>
          <w:szCs w:val="28"/>
        </w:rPr>
        <w:t>Разработка рабочей документации и выполнение строительно-монтажных работ по объекту: Строительство средней общеобразовательной школы на 1275 мест в микрорайоне I жилого района «Южный» город Каменск-Уральский Свердловской области»</w:t>
      </w:r>
      <w:r w:rsidR="00062759" w:rsidRPr="00C2212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62759" w:rsidRPr="00C2212D">
        <w:rPr>
          <w:rFonts w:ascii="Times New Roman" w:hAnsi="Times New Roman" w:cs="Times New Roman"/>
          <w:bCs/>
          <w:iCs/>
          <w:sz w:val="28"/>
          <w:szCs w:val="28"/>
        </w:rPr>
        <w:t>с начальной (максимальной) ценой контракта</w:t>
      </w:r>
      <w:r w:rsidR="00062759" w:rsidRPr="00C2212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62759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880,72</w:t>
      </w:r>
      <w:r w:rsidR="000627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млн. рублей</w:t>
      </w:r>
      <w:r w:rsidR="00062759" w:rsidRPr="0006275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627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62759" w:rsidRPr="00062759">
        <w:rPr>
          <w:rFonts w:ascii="Times New Roman" w:hAnsi="Times New Roman" w:cs="Times New Roman"/>
          <w:bCs/>
          <w:iCs/>
          <w:sz w:val="28"/>
          <w:szCs w:val="28"/>
        </w:rPr>
        <w:t>в котор</w:t>
      </w:r>
      <w:r w:rsidR="00062759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062759" w:rsidRPr="00062759">
        <w:rPr>
          <w:rFonts w:ascii="Times New Roman" w:hAnsi="Times New Roman" w:cs="Times New Roman"/>
          <w:bCs/>
          <w:iCs/>
          <w:sz w:val="28"/>
          <w:szCs w:val="28"/>
        </w:rPr>
        <w:t xml:space="preserve"> заказчик</w:t>
      </w:r>
      <w:r w:rsidR="0006275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062759" w:rsidRPr="00062759">
        <w:rPr>
          <w:rFonts w:ascii="Times New Roman" w:hAnsi="Times New Roman" w:cs="Times New Roman"/>
          <w:bCs/>
          <w:iCs/>
          <w:sz w:val="28"/>
          <w:szCs w:val="28"/>
        </w:rPr>
        <w:t>м выступил</w:t>
      </w:r>
      <w:r w:rsidR="0006275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D56102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75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D56102" w:rsidRPr="00C2212D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r w:rsidR="000627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56102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казенно</w:t>
      </w:r>
      <w:r w:rsidR="000627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56102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0627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56102" w:rsidRPr="00C2212D">
        <w:rPr>
          <w:rFonts w:ascii="Times New Roman" w:hAnsi="Times New Roman" w:cs="Times New Roman"/>
          <w:color w:val="000000"/>
          <w:sz w:val="28"/>
          <w:szCs w:val="28"/>
        </w:rPr>
        <w:t xml:space="preserve"> «Управление капитального строительства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6275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D6A21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B7444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>В целях организации проведения совместных конкурсов и аукционов Департаментом разработана и доведена до сведения заказчиков примерная форма соглашения о проведении совместных конкурсов (аукционов)</w:t>
      </w:r>
      <w:r w:rsidR="00150112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>при осуществлении закупок одних и тех же товаров, работ, услуг.</w:t>
      </w:r>
    </w:p>
    <w:p w:rsidR="00681628" w:rsidRPr="00C2212D" w:rsidRDefault="00CB7444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В </w:t>
      </w:r>
      <w:r w:rsidR="00681628" w:rsidRPr="00C2212D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C2212D">
        <w:rPr>
          <w:rFonts w:ascii="Times New Roman" w:hAnsi="Times New Roman" w:cs="Times New Roman"/>
          <w:sz w:val="28"/>
          <w:szCs w:val="28"/>
        </w:rPr>
        <w:t>201</w:t>
      </w:r>
      <w:r w:rsidR="00C84B26" w:rsidRPr="00C84B26">
        <w:rPr>
          <w:rFonts w:ascii="Times New Roman" w:hAnsi="Times New Roman" w:cs="Times New Roman"/>
          <w:sz w:val="28"/>
          <w:szCs w:val="28"/>
        </w:rPr>
        <w:t>8</w:t>
      </w:r>
      <w:r w:rsidRPr="00C2212D">
        <w:rPr>
          <w:rFonts w:ascii="Times New Roman" w:hAnsi="Times New Roman" w:cs="Times New Roman"/>
          <w:sz w:val="28"/>
          <w:szCs w:val="28"/>
        </w:rPr>
        <w:t xml:space="preserve"> год</w:t>
      </w:r>
      <w:r w:rsidR="00681628" w:rsidRPr="00C2212D">
        <w:rPr>
          <w:rFonts w:ascii="Times New Roman" w:hAnsi="Times New Roman" w:cs="Times New Roman"/>
          <w:sz w:val="28"/>
          <w:szCs w:val="28"/>
        </w:rPr>
        <w:t>а</w:t>
      </w:r>
      <w:r w:rsidRPr="00C2212D">
        <w:rPr>
          <w:rFonts w:ascii="Times New Roman" w:hAnsi="Times New Roman" w:cs="Times New Roman"/>
          <w:sz w:val="28"/>
          <w:szCs w:val="28"/>
        </w:rPr>
        <w:t xml:space="preserve"> Департаментом проведен</w:t>
      </w:r>
      <w:r w:rsidR="00681628" w:rsidRPr="00C2212D">
        <w:rPr>
          <w:rFonts w:ascii="Times New Roman" w:hAnsi="Times New Roman" w:cs="Times New Roman"/>
          <w:sz w:val="28"/>
          <w:szCs w:val="28"/>
        </w:rPr>
        <w:t>о</w:t>
      </w:r>
      <w:r w:rsidR="00150112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150112" w:rsidRPr="00C2212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50112" w:rsidRPr="00C22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112" w:rsidRPr="00C2212D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  <w:r w:rsidR="00150112" w:rsidRPr="00C2212D">
        <w:rPr>
          <w:rFonts w:ascii="Times New Roman" w:hAnsi="Times New Roman" w:cs="Times New Roman"/>
          <w:sz w:val="28"/>
          <w:szCs w:val="28"/>
        </w:rPr>
        <w:t xml:space="preserve"> электронных аукциона:</w:t>
      </w:r>
    </w:p>
    <w:p w:rsidR="00CB7444" w:rsidRPr="00C2212D" w:rsidRDefault="00681628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212D">
        <w:rPr>
          <w:rFonts w:ascii="Times New Roman" w:hAnsi="Times New Roman" w:cs="Times New Roman"/>
          <w:sz w:val="28"/>
          <w:szCs w:val="28"/>
        </w:rPr>
        <w:t xml:space="preserve">- </w:t>
      </w:r>
      <w:r w:rsidR="000E1711" w:rsidRPr="00C2212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B7444" w:rsidRPr="00C2212D">
        <w:rPr>
          <w:rFonts w:ascii="Times New Roman" w:hAnsi="Times New Roman" w:cs="Times New Roman"/>
          <w:sz w:val="28"/>
          <w:szCs w:val="28"/>
        </w:rPr>
        <w:t xml:space="preserve"> совместны</w:t>
      </w:r>
      <w:r w:rsidR="000E1711" w:rsidRPr="00C2212D">
        <w:rPr>
          <w:rFonts w:ascii="Times New Roman" w:hAnsi="Times New Roman" w:cs="Times New Roman"/>
          <w:sz w:val="28"/>
          <w:szCs w:val="28"/>
        </w:rPr>
        <w:t>й</w:t>
      </w:r>
      <w:r w:rsidR="00F86038" w:rsidRPr="00C2212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B7444" w:rsidRPr="00C2212D">
        <w:rPr>
          <w:rFonts w:ascii="Times New Roman" w:hAnsi="Times New Roman" w:cs="Times New Roman"/>
          <w:sz w:val="28"/>
          <w:szCs w:val="28"/>
        </w:rPr>
        <w:t xml:space="preserve"> аукцион </w:t>
      </w:r>
      <w:r w:rsidR="00FF7B82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с общей начальной (максимальной) ценой контракта </w:t>
      </w:r>
      <w:r w:rsidR="00FF7B82" w:rsidRPr="00C2212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F7B82" w:rsidRPr="00C2212D">
        <w:rPr>
          <w:rFonts w:ascii="Times New Roman" w:hAnsi="Times New Roman" w:cs="Times New Roman"/>
          <w:b/>
          <w:i/>
          <w:sz w:val="28"/>
          <w:szCs w:val="28"/>
        </w:rPr>
        <w:t>1,4  млн. рублей</w:t>
      </w:r>
      <w:r w:rsidR="00FF7B82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0E1711" w:rsidRPr="00C2212D">
        <w:rPr>
          <w:rFonts w:ascii="Times New Roman" w:hAnsi="Times New Roman" w:cs="Times New Roman"/>
          <w:bCs/>
          <w:iCs/>
          <w:sz w:val="28"/>
          <w:szCs w:val="28"/>
        </w:rPr>
        <w:t>на поставку</w:t>
      </w:r>
      <w:r w:rsidR="00150112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«Оказание услуг по проведению комплексного сервисного обслуживания навигационно-информационной системы мониторинга и управления транспортом на базе ГЛОНАСС»</w:t>
      </w:r>
      <w:r w:rsidR="000E1711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для нужд подведомственных Министерству </w:t>
      </w:r>
      <w:r w:rsidR="000E1711" w:rsidRPr="00C2212D">
        <w:rPr>
          <w:rFonts w:ascii="Times New Roman" w:hAnsi="Times New Roman" w:cs="Times New Roman"/>
          <w:sz w:val="28"/>
          <w:szCs w:val="28"/>
        </w:rPr>
        <w:t>здравоохранения Свердловской области учреждений</w:t>
      </w:r>
      <w:r w:rsidR="00FF7B82" w:rsidRPr="00C2212D">
        <w:rPr>
          <w:rFonts w:ascii="Times New Roman" w:hAnsi="Times New Roman" w:cs="Times New Roman"/>
          <w:sz w:val="28"/>
          <w:szCs w:val="28"/>
        </w:rPr>
        <w:t>;</w:t>
      </w:r>
    </w:p>
    <w:p w:rsidR="00150112" w:rsidRPr="00C2212D" w:rsidRDefault="00150112" w:rsidP="00613955">
      <w:pPr>
        <w:spacing w:line="312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2212D">
        <w:rPr>
          <w:rFonts w:ascii="Times New Roman" w:hAnsi="Times New Roman" w:cs="Times New Roman"/>
          <w:sz w:val="28"/>
          <w:szCs w:val="28"/>
        </w:rPr>
        <w:t>- 2 совместных электронных аукциона</w:t>
      </w:r>
      <w:r w:rsidR="00FF7B82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="00FF7B82" w:rsidRPr="00C2212D">
        <w:rPr>
          <w:rFonts w:ascii="Times New Roman" w:hAnsi="Times New Roman" w:cs="Times New Roman"/>
          <w:bCs/>
          <w:iCs/>
          <w:sz w:val="28"/>
          <w:szCs w:val="28"/>
        </w:rPr>
        <w:t>с общей начальной (максимальной) ценой контракта</w:t>
      </w:r>
      <w:r w:rsidR="00FF7B82" w:rsidRPr="00C2212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F7B82" w:rsidRPr="00C2212D">
        <w:rPr>
          <w:rFonts w:ascii="Times New Roman" w:hAnsi="Times New Roman" w:cs="Times New Roman"/>
          <w:b/>
          <w:i/>
          <w:sz w:val="28"/>
          <w:szCs w:val="28"/>
        </w:rPr>
        <w:t>4 344,25 млн. рублей</w:t>
      </w:r>
      <w:r w:rsidR="00FF7B82" w:rsidRPr="00C2212D">
        <w:rPr>
          <w:rFonts w:ascii="Times New Roman" w:hAnsi="Times New Roman" w:cs="Times New Roman"/>
          <w:sz w:val="28"/>
          <w:szCs w:val="28"/>
        </w:rPr>
        <w:t xml:space="preserve"> </w:t>
      </w:r>
      <w:r w:rsidRPr="00C2212D">
        <w:rPr>
          <w:rFonts w:ascii="Times New Roman" w:hAnsi="Times New Roman" w:cs="Times New Roman"/>
          <w:sz w:val="28"/>
          <w:szCs w:val="28"/>
        </w:rPr>
        <w:t xml:space="preserve">(с учетом </w:t>
      </w:r>
      <w:r w:rsidR="00A76B8F">
        <w:rPr>
          <w:rFonts w:ascii="Times New Roman" w:hAnsi="Times New Roman" w:cs="Times New Roman"/>
          <w:sz w:val="28"/>
          <w:szCs w:val="28"/>
        </w:rPr>
        <w:t>несостоявшейся процедуры, по результатам проведения которой единственная заявка была признана несоответствующей и отклонена аукционной комиссией</w:t>
      </w:r>
      <w:r w:rsidRPr="00C2212D">
        <w:rPr>
          <w:rFonts w:ascii="Times New Roman" w:hAnsi="Times New Roman" w:cs="Times New Roman"/>
          <w:sz w:val="28"/>
          <w:szCs w:val="28"/>
        </w:rPr>
        <w:t>) по «Строительство и реконструкция улично-дорожной сети со строительством трамвайной линии в границах городского округа Верхняя Пышма и муниципального образования «город Екатеринбург», 1 этап.</w:t>
      </w:r>
      <w:proofErr w:type="gramEnd"/>
      <w:r w:rsidRPr="00C2212D">
        <w:rPr>
          <w:rFonts w:ascii="Times New Roman" w:hAnsi="Times New Roman" w:cs="Times New Roman"/>
          <w:sz w:val="28"/>
          <w:szCs w:val="28"/>
        </w:rPr>
        <w:t xml:space="preserve"> Строительство и реконструкция улично-дорожной сети со строительством трамвайной линии»</w:t>
      </w:r>
      <w:r w:rsidRPr="00C2212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07CB" w:rsidRPr="00C2212D" w:rsidRDefault="003D43C0" w:rsidP="009007CB">
      <w:pPr>
        <w:spacing w:line="312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методической работы Департаментом </w:t>
      </w:r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проведено </w:t>
      </w:r>
      <w:r w:rsidR="009007CB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учебно-методических семинаров для государственных и муниципальных заказчиков  «О порядке работы в Информационной системе в сфере закупок Свердловской области» и по разъяснению требований </w:t>
      </w:r>
      <w:r w:rsidR="00C04245" w:rsidRPr="000F2BA8">
        <w:rPr>
          <w:rFonts w:ascii="Times New Roman" w:hAnsi="Times New Roman" w:cs="Times New Roman"/>
          <w:sz w:val="28"/>
          <w:szCs w:val="28"/>
        </w:rPr>
        <w:t>Закон</w:t>
      </w:r>
      <w:r w:rsidR="00C04245">
        <w:rPr>
          <w:rFonts w:ascii="Times New Roman" w:hAnsi="Times New Roman" w:cs="Times New Roman"/>
          <w:sz w:val="28"/>
          <w:szCs w:val="28"/>
        </w:rPr>
        <w:t>а</w:t>
      </w:r>
      <w:r w:rsidR="00C04245" w:rsidRPr="000F2BA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04245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(6 для государственных заказчиков и 1 для муниципальных заказчиков), в которых приняли участие </w:t>
      </w:r>
      <w:r w:rsidR="009007CB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1 113 </w:t>
      </w:r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специалистов от </w:t>
      </w:r>
      <w:r w:rsidR="009007CB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576</w:t>
      </w:r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государственных </w:t>
      </w:r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заказчиков Свердловской области, что составляет </w:t>
      </w:r>
      <w:r w:rsidR="009007CB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79,8 %</w:t>
      </w:r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от общего</w:t>
      </w:r>
      <w:proofErr w:type="gramEnd"/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количества государственных заказчиков Свердловской области и </w:t>
      </w:r>
      <w:r w:rsidR="009007CB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380 </w:t>
      </w:r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специалистов от </w:t>
      </w:r>
      <w:r w:rsidR="009007CB" w:rsidRPr="00C22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205 </w:t>
      </w:r>
      <w:r w:rsidR="009007CB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муниципальных заказчиков Свердловской области. </w:t>
      </w:r>
    </w:p>
    <w:p w:rsidR="009007CB" w:rsidRPr="00C2212D" w:rsidRDefault="009007CB" w:rsidP="009007CB">
      <w:pPr>
        <w:spacing w:line="312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Отдельно проведен семинар для </w:t>
      </w:r>
      <w:r w:rsidR="00062759">
        <w:rPr>
          <w:rFonts w:ascii="Times New Roman" w:hAnsi="Times New Roman" w:cs="Times New Roman"/>
          <w:bCs/>
          <w:iCs/>
          <w:sz w:val="28"/>
          <w:szCs w:val="28"/>
        </w:rPr>
        <w:t>государственных унитарных предприятий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Свердловской области</w:t>
      </w:r>
      <w:r w:rsidR="00062759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ГУП СО)</w:t>
      </w: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 «О порядке работы в Информационной системе в сфере закупок Свердловской области», в котором приняли участие 11 из 12 </w:t>
      </w:r>
      <w:proofErr w:type="spellStart"/>
      <w:r w:rsidRPr="00C2212D">
        <w:rPr>
          <w:rFonts w:ascii="Times New Roman" w:hAnsi="Times New Roman" w:cs="Times New Roman"/>
          <w:bCs/>
          <w:iCs/>
          <w:sz w:val="28"/>
          <w:szCs w:val="28"/>
        </w:rPr>
        <w:t>ГУП</w:t>
      </w:r>
      <w:r w:rsidR="00062759">
        <w:rPr>
          <w:rFonts w:ascii="Times New Roman" w:hAnsi="Times New Roman" w:cs="Times New Roman"/>
          <w:bCs/>
          <w:iCs/>
          <w:sz w:val="28"/>
          <w:szCs w:val="28"/>
        </w:rPr>
        <w:t>ов</w:t>
      </w:r>
      <w:proofErr w:type="spellEnd"/>
      <w:r w:rsidR="000627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62759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C2212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96D02" w:rsidRPr="00C2212D" w:rsidRDefault="00B96D02" w:rsidP="001F5AE0">
      <w:pPr>
        <w:spacing w:line="312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22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рассмотрения заключения Счетной палаты Свердловской области по итогам экспертно-аналитического мероприятия «Аудит эффективности в сфере закупок, в части расходов по планируемым к заключению, заключенным и исполненным контрактам» и проведенного анализа допущенных государственными и муниципальными заказчиками Свердловской области нарушений, Департаментом в </w:t>
      </w:r>
      <w:r w:rsidR="001D7A6A" w:rsidRPr="00C2212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1D7A6A" w:rsidRPr="00C22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полугодии </w:t>
      </w:r>
      <w:r w:rsidRPr="00C22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2018 года проведены </w:t>
      </w:r>
      <w:r w:rsidR="001D7A6A" w:rsidRPr="00C2212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24 </w:t>
      </w:r>
      <w:r w:rsidRPr="00C2212D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 встреч</w:t>
      </w:r>
      <w:r w:rsidR="001D7A6A" w:rsidRPr="00C2212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22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формате «круглых столов» с наиболее часто допускающими нарушения законодательства о</w:t>
      </w:r>
      <w:proofErr w:type="gramEnd"/>
      <w:r w:rsidRPr="00C22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контрактной системе государственными и муниципальными заказчиками Свердловской области для разъяснения проблемных вопросов, возникающих в ходе их закупочной деятельности.</w:t>
      </w:r>
    </w:p>
    <w:p w:rsidR="004A4F1C" w:rsidRPr="00C2212D" w:rsidRDefault="00772F2D" w:rsidP="004A4F1C">
      <w:pPr>
        <w:spacing w:line="312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r w:rsidRPr="00C2212D">
        <w:rPr>
          <w:rFonts w:ascii="Times New Roman" w:hAnsi="Times New Roman" w:cs="Times New Roman"/>
          <w:bCs/>
          <w:iCs/>
          <w:sz w:val="28"/>
          <w:szCs w:val="28"/>
        </w:rPr>
        <w:t>За 6 месяцев 2018 года в адрес государственных заказчиков Свердловской области Департаментом были направлены 22 информационных письма с разъяснениями законодательства в сфере закупок товаров, работ, услуг</w:t>
      </w:r>
      <w:r w:rsidR="004A4F1C"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72F2D" w:rsidRPr="00C2212D" w:rsidRDefault="004A4F1C" w:rsidP="00772F2D">
      <w:pPr>
        <w:spacing w:line="312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r w:rsidRPr="00C2212D">
        <w:rPr>
          <w:rFonts w:ascii="Times New Roman" w:hAnsi="Times New Roman" w:cs="Times New Roman"/>
          <w:bCs/>
          <w:iCs/>
          <w:sz w:val="28"/>
          <w:szCs w:val="28"/>
        </w:rPr>
        <w:t xml:space="preserve">На постоянной основе организована работа «горячей линии» для консультирования граждан и представителей заказчиков по вопросам применения законодательства о контрактной системе. </w:t>
      </w:r>
      <w:r w:rsidR="00772F2D" w:rsidRPr="00C2212D">
        <w:rPr>
          <w:rFonts w:ascii="Times New Roman" w:hAnsi="Times New Roman" w:cs="Times New Roman"/>
          <w:bCs/>
          <w:iCs/>
          <w:sz w:val="28"/>
          <w:szCs w:val="28"/>
        </w:rPr>
        <w:t>За период с 01.01.2018  по 30.06.2018  Департаментом были рассмотрены 26 письменных обращений граждан и 204 устных обращения специалистов заказчиков Свердловской области по вопросам применения законодательства о контрактной системе.</w:t>
      </w:r>
    </w:p>
    <w:p w:rsidR="00B23E83" w:rsidRDefault="00B23E83" w:rsidP="00613955">
      <w:pPr>
        <w:tabs>
          <w:tab w:val="left" w:pos="7383"/>
        </w:tabs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</w:p>
    <w:p w:rsidR="00B23E83" w:rsidRDefault="00B23E83" w:rsidP="00613955">
      <w:pPr>
        <w:tabs>
          <w:tab w:val="left" w:pos="7383"/>
        </w:tabs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</w:p>
    <w:p w:rsidR="00B23E83" w:rsidRDefault="00B23E83" w:rsidP="00613955">
      <w:pPr>
        <w:tabs>
          <w:tab w:val="left" w:pos="7383"/>
        </w:tabs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</w:p>
    <w:p w:rsidR="00B23E83" w:rsidRDefault="00B23E83" w:rsidP="00613955">
      <w:pPr>
        <w:tabs>
          <w:tab w:val="left" w:pos="7383"/>
        </w:tabs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</w:p>
    <w:p w:rsidR="00B23E83" w:rsidRDefault="00B23E83" w:rsidP="00613955">
      <w:pPr>
        <w:tabs>
          <w:tab w:val="left" w:pos="7383"/>
        </w:tabs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</w:p>
    <w:p w:rsidR="00B23E83" w:rsidRDefault="00B23E83" w:rsidP="00613955">
      <w:pPr>
        <w:tabs>
          <w:tab w:val="left" w:pos="7383"/>
        </w:tabs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</w:p>
    <w:p w:rsidR="00B23E83" w:rsidRDefault="00B23E83" w:rsidP="00613955">
      <w:pPr>
        <w:tabs>
          <w:tab w:val="left" w:pos="7383"/>
        </w:tabs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</w:p>
    <w:p w:rsidR="00B23E83" w:rsidRDefault="00B23E83" w:rsidP="00613955">
      <w:pPr>
        <w:tabs>
          <w:tab w:val="left" w:pos="7383"/>
        </w:tabs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</w:p>
    <w:p w:rsidR="002C7B8D" w:rsidRPr="00757B29" w:rsidRDefault="0090494F" w:rsidP="00613955">
      <w:pPr>
        <w:tabs>
          <w:tab w:val="left" w:pos="7383"/>
        </w:tabs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757B29">
        <w:rPr>
          <w:rFonts w:ascii="Times New Roman" w:eastAsiaTheme="minorHAnsi" w:hAnsi="Times New Roman" w:cs="Times New Roman"/>
          <w:i/>
          <w:lang w:eastAsia="en-US"/>
        </w:rPr>
        <w:lastRenderedPageBreak/>
        <w:t>Таблица</w:t>
      </w:r>
      <w:r w:rsidR="00825A53" w:rsidRPr="00757B29">
        <w:rPr>
          <w:rFonts w:ascii="Times New Roman" w:eastAsiaTheme="minorHAnsi" w:hAnsi="Times New Roman" w:cs="Times New Roman"/>
          <w:i/>
          <w:lang w:eastAsia="en-US"/>
        </w:rPr>
        <w:t xml:space="preserve"> №</w:t>
      </w:r>
      <w:r w:rsidR="003554BF">
        <w:rPr>
          <w:rFonts w:ascii="Times New Roman" w:eastAsiaTheme="minorHAnsi" w:hAnsi="Times New Roman" w:cs="Times New Roman"/>
          <w:i/>
          <w:lang w:eastAsia="en-US"/>
        </w:rPr>
        <w:t>5</w:t>
      </w:r>
    </w:p>
    <w:p w:rsidR="00AE0062" w:rsidRDefault="00825A53" w:rsidP="00613955">
      <w:pPr>
        <w:tabs>
          <w:tab w:val="left" w:pos="7383"/>
        </w:tabs>
        <w:spacing w:line="312" w:lineRule="auto"/>
        <w:ind w:firstLine="539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757B29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="009F38F4" w:rsidRPr="00757B29">
        <w:rPr>
          <w:rFonts w:ascii="Times New Roman" w:eastAsiaTheme="minorHAnsi" w:hAnsi="Times New Roman" w:cs="Times New Roman"/>
          <w:i/>
          <w:lang w:eastAsia="en-US"/>
        </w:rPr>
        <w:t>И</w:t>
      </w:r>
      <w:r w:rsidRPr="00757B29">
        <w:rPr>
          <w:rFonts w:ascii="Times New Roman" w:eastAsiaTheme="minorHAnsi" w:hAnsi="Times New Roman" w:cs="Times New Roman"/>
          <w:i/>
          <w:lang w:eastAsia="en-US"/>
        </w:rPr>
        <w:t xml:space="preserve">нформация </w:t>
      </w:r>
      <w:r w:rsidR="005F1445" w:rsidRPr="00757B29">
        <w:rPr>
          <w:rFonts w:ascii="Times New Roman" w:eastAsiaTheme="minorHAnsi" w:hAnsi="Times New Roman" w:cs="Times New Roman"/>
          <w:i/>
          <w:lang w:eastAsia="en-US"/>
        </w:rPr>
        <w:t xml:space="preserve"> по закупкам, осуществлённым через </w:t>
      </w:r>
      <w:r w:rsidR="003F6149">
        <w:rPr>
          <w:rFonts w:ascii="Times New Roman" w:eastAsiaTheme="minorHAnsi" w:hAnsi="Times New Roman" w:cs="Times New Roman"/>
          <w:i/>
          <w:lang w:eastAsia="en-US"/>
        </w:rPr>
        <w:t>Департамент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5245"/>
        <w:gridCol w:w="425"/>
        <w:gridCol w:w="425"/>
        <w:gridCol w:w="284"/>
        <w:gridCol w:w="567"/>
        <w:gridCol w:w="425"/>
        <w:gridCol w:w="1843"/>
      </w:tblGrid>
      <w:tr w:rsidR="002B13D5" w:rsidRPr="002B13D5" w:rsidTr="00D2789C">
        <w:trPr>
          <w:trHeight w:val="9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13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2B13D5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2B13D5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13D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13D5">
              <w:rPr>
                <w:rFonts w:ascii="Times New Roman" w:hAnsi="Times New Roman" w:cs="Times New Roman"/>
                <w:b/>
                <w:bCs/>
                <w:color w:val="000000"/>
              </w:rPr>
              <w:t>Количественные показатели</w:t>
            </w:r>
            <w:r w:rsidRPr="002B13D5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13D5">
              <w:rPr>
                <w:rFonts w:ascii="Times New Roman" w:hAnsi="Times New Roman" w:cs="Times New Roman"/>
                <w:b/>
                <w:bCs/>
                <w:color w:val="000000"/>
              </w:rPr>
              <w:t>Стоимостные показатели</w:t>
            </w:r>
            <w:r w:rsidRPr="002B13D5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(млн. рублей)</w:t>
            </w:r>
          </w:p>
        </w:tc>
      </w:tr>
      <w:tr w:rsidR="002B13D5" w:rsidRPr="002B13D5" w:rsidTr="00D2789C">
        <w:trPr>
          <w:trHeight w:val="30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2B13D5" w:rsidRPr="002B13D5" w:rsidTr="00D2789C">
        <w:trPr>
          <w:trHeight w:val="576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и сумма поступивших в Департамент заявок на определение поставщиков (подрядчиков, исполнителей)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26 679,27 ₽</w:t>
            </w:r>
          </w:p>
        </w:tc>
      </w:tr>
      <w:tr w:rsidR="002B13D5" w:rsidRPr="002B13D5" w:rsidTr="00D2789C">
        <w:trPr>
          <w:trHeight w:val="301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13D5" w:rsidRPr="002B13D5" w:rsidTr="00D2789C">
        <w:trPr>
          <w:trHeight w:val="5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заявки с </w:t>
            </w:r>
            <w:proofErr w:type="gram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Н(</w:t>
            </w:r>
            <w:proofErr w:type="gram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М)ЦК менее пяти миллионов рублей (без учета совместных закупок, закупок муниципальных заказчиков и </w:t>
            </w:r>
            <w:proofErr w:type="spell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ГУПов</w:t>
            </w:r>
            <w:proofErr w:type="spell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СО)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2 326,75 ₽</w:t>
            </w:r>
          </w:p>
        </w:tc>
      </w:tr>
      <w:tr w:rsidR="002B13D5" w:rsidRPr="002B13D5" w:rsidTr="00D2789C">
        <w:trPr>
          <w:trHeight w:val="5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заявки с </w:t>
            </w:r>
            <w:proofErr w:type="gram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Н(</w:t>
            </w:r>
            <w:proofErr w:type="gram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М)ЦК пять миллионов рублей и более (без учета совместных закупок, закупок муниципальных заказчиков и </w:t>
            </w:r>
            <w:proofErr w:type="spell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ГУПов</w:t>
            </w:r>
            <w:proofErr w:type="spell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СО)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16 410,88 ₽</w:t>
            </w:r>
          </w:p>
        </w:tc>
      </w:tr>
      <w:tr w:rsidR="002B13D5" w:rsidRPr="002B13D5" w:rsidTr="00DD7742">
        <w:trPr>
          <w:trHeight w:val="30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заявки на проведение </w:t>
            </w:r>
            <w:proofErr w:type="gram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совместных</w:t>
            </w:r>
            <w:proofErr w:type="gram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закупок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4 345,66 ₽</w:t>
            </w:r>
          </w:p>
        </w:tc>
      </w:tr>
      <w:tr w:rsidR="002B13D5" w:rsidRPr="002B13D5" w:rsidTr="00DD7742">
        <w:trPr>
          <w:trHeight w:val="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заявки от муниципальных заказчиков Свердловской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3 546,78 ₽</w:t>
            </w:r>
          </w:p>
        </w:tc>
      </w:tr>
      <w:tr w:rsidR="002B13D5" w:rsidRPr="002B13D5" w:rsidTr="00DD7742">
        <w:trPr>
          <w:trHeight w:val="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заявки от ГУП Свердловской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49,20 ₽</w:t>
            </w:r>
          </w:p>
        </w:tc>
      </w:tr>
      <w:tr w:rsidR="002B13D5" w:rsidRPr="002B13D5" w:rsidTr="00C2212D">
        <w:trPr>
          <w:trHeight w:val="8192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D5" w:rsidRPr="002B13D5" w:rsidRDefault="00F61EB3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F8F1A3F" wp14:editId="2FEEF034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142875</wp:posOffset>
                  </wp:positionV>
                  <wp:extent cx="6500495" cy="2626360"/>
                  <wp:effectExtent l="0" t="0" r="0" b="2540"/>
                  <wp:wrapNone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0"/>
            </w:tblGrid>
            <w:tr w:rsidR="002B13D5" w:rsidRPr="002B13D5" w:rsidTr="009D7722">
              <w:trPr>
                <w:trHeight w:val="8192"/>
                <w:tblCellSpacing w:w="0" w:type="dxa"/>
              </w:trPr>
              <w:tc>
                <w:tcPr>
                  <w:tcW w:w="1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13D5" w:rsidRPr="002B13D5" w:rsidRDefault="002B13D5" w:rsidP="002B13D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B13D5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70528" behindDoc="0" locked="0" layoutInCell="1" allowOverlap="1" wp14:anchorId="7C81C464" wp14:editId="195837CD">
                        <wp:simplePos x="0" y="0"/>
                        <wp:positionH relativeFrom="column">
                          <wp:posOffset>-220345</wp:posOffset>
                        </wp:positionH>
                        <wp:positionV relativeFrom="paragraph">
                          <wp:posOffset>2458085</wp:posOffset>
                        </wp:positionV>
                        <wp:extent cx="6832600" cy="2726055"/>
                        <wp:effectExtent l="0" t="0" r="6350" b="0"/>
                        <wp:wrapNone/>
                        <wp:docPr id="9" name="Диаграмма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B13D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C73416" w:rsidRPr="002B13D5" w:rsidTr="00D2789C">
        <w:trPr>
          <w:trHeight w:val="8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D278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Заявки, в отношении которых Департаментом была проведена проверка  на соответствие требованиям законодательства РФ в сфере закупок товаров, работ, услуг (включая заявки по совместным </w:t>
            </w:r>
            <w:r w:rsidR="00D278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закупкам</w:t>
            </w: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24 352,52 ₽</w:t>
            </w:r>
          </w:p>
        </w:tc>
      </w:tr>
      <w:tr w:rsidR="00C73416" w:rsidRPr="002B13D5" w:rsidTr="00D2789C">
        <w:trPr>
          <w:trHeight w:val="74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0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D2789C" w:rsidP="00D278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2B13D5"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лучаи, по которым выявлены нарушения требований законодательства РФ в сфере закупок товаров, работ, услуг </w:t>
            </w:r>
            <w:r w:rsidR="002B13D5"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(доля от кол-ва рассмотренных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Департаментом</w:t>
            </w:r>
            <w:r w:rsidR="002B13D5"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заявок и заявок на проведение совместных закупок)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18 330,92 ₽</w:t>
            </w:r>
          </w:p>
        </w:tc>
      </w:tr>
      <w:tr w:rsidR="00C73416" w:rsidRPr="002B13D5" w:rsidTr="00D2789C">
        <w:trPr>
          <w:trHeight w:val="7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80,6%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D6284" w:rsidRPr="002B13D5" w:rsidTr="00D2789C">
        <w:trPr>
          <w:trHeight w:val="537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84" w:rsidRPr="002B13D5" w:rsidRDefault="005D6284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  <w:p w:rsidR="005D6284" w:rsidRPr="002B13D5" w:rsidRDefault="005D6284" w:rsidP="002B13D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84" w:rsidRPr="002B13D5" w:rsidRDefault="005D6284" w:rsidP="00D278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Заявки на проведение совместных закупок:</w:t>
            </w: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случаи, по которым выявлены нарушения требований законодательства РФ в сфере закупок товаров, работ, услуг</w:t>
            </w: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(доля от кол-ва рассмотренных</w:t>
            </w:r>
            <w:r w:rsidR="00D278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Департаментом</w:t>
            </w: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заявок и заявок на проведение совместных закупок)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84" w:rsidRPr="002B13D5" w:rsidRDefault="005D6284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84" w:rsidRPr="002B13D5" w:rsidRDefault="005D6284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2 124,15 ₽</w:t>
            </w:r>
          </w:p>
        </w:tc>
      </w:tr>
      <w:tr w:rsidR="005D6284" w:rsidRPr="002B13D5" w:rsidTr="00D2789C">
        <w:trPr>
          <w:trHeight w:val="969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84" w:rsidRPr="002B13D5" w:rsidRDefault="005D6284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284" w:rsidRPr="002B13D5" w:rsidRDefault="005D6284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84" w:rsidRPr="002B13D5" w:rsidRDefault="005D6284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0,58%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284" w:rsidRPr="002B13D5" w:rsidRDefault="005D6284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73416" w:rsidRPr="002B13D5" w:rsidTr="00D2789C">
        <w:trPr>
          <w:trHeight w:val="115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результатам рассмотрения Департаментом заявок и устранения, выявленных в ходе проверки нарушений, допущенных заказчиками Свердловской области, достигнута экономия средств бюджета Свердловской области и внебюджетных источников финансирования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8,63 ₽</w:t>
            </w:r>
          </w:p>
        </w:tc>
      </w:tr>
      <w:tr w:rsidR="00C73416" w:rsidRPr="002B13D5" w:rsidTr="00D2789C">
        <w:trPr>
          <w:trHeight w:val="30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Неопубликованные заявки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3 210,79 ₽</w:t>
            </w:r>
          </w:p>
        </w:tc>
      </w:tr>
      <w:tr w:rsidR="00C73416" w:rsidRPr="002B13D5" w:rsidTr="00D2789C">
        <w:trPr>
          <w:trHeight w:val="57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Закупки, опубликованные на официальном сайте Единой информационной системы в сфере закупок в сети интернет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23 468,48 ₽</w:t>
            </w:r>
          </w:p>
        </w:tc>
      </w:tr>
      <w:tr w:rsidR="00C73416" w:rsidRPr="002B13D5" w:rsidTr="00D2789C">
        <w:trPr>
          <w:trHeight w:val="30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73416" w:rsidRPr="002B13D5" w:rsidTr="00D2789C">
        <w:trPr>
          <w:trHeight w:val="8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закупки с </w:t>
            </w:r>
            <w:proofErr w:type="gram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Н(</w:t>
            </w:r>
            <w:proofErr w:type="gram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М)ЦК менее пяти миллионов рублей (без учета совместных закупок, закупок муниципальных заказчиков и </w:t>
            </w:r>
            <w:proofErr w:type="spell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ГУПов</w:t>
            </w:r>
            <w:proofErr w:type="spell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СО, отмененных закупок)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2 242,14 ₽</w:t>
            </w:r>
          </w:p>
        </w:tc>
      </w:tr>
      <w:tr w:rsidR="00C73416" w:rsidRPr="002B13D5" w:rsidTr="00D2789C">
        <w:trPr>
          <w:trHeight w:val="8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закупки с </w:t>
            </w:r>
            <w:proofErr w:type="gram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Н(</w:t>
            </w:r>
            <w:proofErr w:type="gram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М)ЦК пять миллионов рублей и более (без учета совместных закупок, закупок муниципальных заказчиков и </w:t>
            </w:r>
            <w:proofErr w:type="spell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ГУПов</w:t>
            </w:r>
            <w:proofErr w:type="spell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СО, отмененных закупок)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11 027,68 ₽</w:t>
            </w:r>
          </w:p>
        </w:tc>
      </w:tr>
      <w:tr w:rsidR="00C73416" w:rsidRPr="002B13D5" w:rsidTr="00D2789C">
        <w:trPr>
          <w:trHeight w:val="30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совместные закупки (лоты)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4 345,66 ₽</w:t>
            </w:r>
          </w:p>
        </w:tc>
      </w:tr>
      <w:tr w:rsidR="00C73416" w:rsidRPr="002B13D5" w:rsidTr="00D2789C">
        <w:trPr>
          <w:trHeight w:val="30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заявки от </w:t>
            </w:r>
            <w:proofErr w:type="spell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мунициапальных</w:t>
            </w:r>
            <w:proofErr w:type="spell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заказчиков Свердловской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3 274,28 ₽</w:t>
            </w:r>
          </w:p>
        </w:tc>
      </w:tr>
      <w:tr w:rsidR="00C73416" w:rsidRPr="002B13D5" w:rsidTr="00D2789C">
        <w:trPr>
          <w:trHeight w:val="30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заявки от ГУП Свердловской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49,20 ₽</w:t>
            </w:r>
          </w:p>
        </w:tc>
      </w:tr>
      <w:tr w:rsidR="00C73416" w:rsidRPr="002B13D5" w:rsidTr="00D2789C">
        <w:trPr>
          <w:trHeight w:val="5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отмененные заявки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384,70 ₽</w:t>
            </w:r>
          </w:p>
        </w:tc>
      </w:tr>
      <w:tr w:rsidR="002B13D5" w:rsidRPr="002B13D5" w:rsidTr="00D354E8">
        <w:trPr>
          <w:trHeight w:val="8752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21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0"/>
            </w:tblGrid>
            <w:tr w:rsidR="002B13D5" w:rsidRPr="002B13D5" w:rsidTr="00D354E8">
              <w:trPr>
                <w:trHeight w:val="10155"/>
                <w:tblCellSpacing w:w="0" w:type="dxa"/>
              </w:trPr>
              <w:tc>
                <w:tcPr>
                  <w:tcW w:w="12180" w:type="dxa"/>
                  <w:shd w:val="clear" w:color="auto" w:fill="auto"/>
                  <w:vAlign w:val="center"/>
                  <w:hideMark/>
                </w:tcPr>
                <w:p w:rsidR="002B13D5" w:rsidRPr="002B13D5" w:rsidRDefault="00DD7742" w:rsidP="003A6B6C">
                  <w:pPr>
                    <w:widowControl/>
                    <w:autoSpaceDE/>
                    <w:autoSpaceDN/>
                    <w:adjustRightInd/>
                    <w:ind w:left="-123"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B13D5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</w:rPr>
                    <w:lastRenderedPageBreak/>
                    <w:drawing>
                      <wp:anchor distT="0" distB="0" distL="114300" distR="114300" simplePos="0" relativeHeight="251671552" behindDoc="0" locked="0" layoutInCell="1" allowOverlap="1" wp14:anchorId="56BD3BE2" wp14:editId="34AF2A03">
                        <wp:simplePos x="0" y="0"/>
                        <wp:positionH relativeFrom="column">
                          <wp:posOffset>-163830</wp:posOffset>
                        </wp:positionH>
                        <wp:positionV relativeFrom="paragraph">
                          <wp:posOffset>55245</wp:posOffset>
                        </wp:positionV>
                        <wp:extent cx="6772275" cy="3267075"/>
                        <wp:effectExtent l="0" t="0" r="0" b="0"/>
                        <wp:wrapNone/>
                        <wp:docPr id="10" name="Диаграмма 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5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354E8" w:rsidRPr="002B13D5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72576" behindDoc="0" locked="0" layoutInCell="1" allowOverlap="1" wp14:anchorId="3EFE54DC" wp14:editId="3E0A47F9">
                        <wp:simplePos x="0" y="0"/>
                        <wp:positionH relativeFrom="column">
                          <wp:posOffset>-30480</wp:posOffset>
                        </wp:positionH>
                        <wp:positionV relativeFrom="paragraph">
                          <wp:posOffset>3271520</wp:posOffset>
                        </wp:positionV>
                        <wp:extent cx="6705600" cy="3114675"/>
                        <wp:effectExtent l="0" t="0" r="0" b="0"/>
                        <wp:wrapNone/>
                        <wp:docPr id="11" name="Диаграмма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B13D5" w:rsidRPr="002B13D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C73416" w:rsidRPr="002B13D5" w:rsidTr="00D354E8">
        <w:trPr>
          <w:trHeight w:val="1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и сумма завершенных процедур, опубликованных на официальном сайте Единой информационной системы в сфере закупок в сети интернет </w:t>
            </w: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page"/>
              <w:t xml:space="preserve">(учтены </w:t>
            </w:r>
            <w:proofErr w:type="gramStart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закупки</w:t>
            </w:r>
            <w:proofErr w:type="gramEnd"/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опубликованные в 2017 г. и завершенные в 2018 г.)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1 160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21 853,81 ₽</w:t>
            </w:r>
          </w:p>
        </w:tc>
      </w:tr>
      <w:tr w:rsidR="002B13D5" w:rsidRPr="002B13D5" w:rsidTr="00C2212D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73416" w:rsidRPr="002B13D5" w:rsidTr="00C2212D">
        <w:trPr>
          <w:cantSplit/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состоявшихся процедур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9 708,86 ₽</w:t>
            </w:r>
          </w:p>
        </w:tc>
      </w:tr>
      <w:tr w:rsidR="00C73416" w:rsidRPr="002B13D5" w:rsidTr="00C2212D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A76B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несостоявшихся процедур </w:t>
            </w: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(подана 1 заявка или 1 заявка признана соответствующей)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9 334,22 ₽</w:t>
            </w:r>
          </w:p>
        </w:tc>
      </w:tr>
      <w:tr w:rsidR="00C73416" w:rsidRPr="002B13D5" w:rsidTr="00C2212D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A76B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несостоявшихся процедур </w:t>
            </w: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(0 заявок или все заявки признаны несоответствующими)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2 810,73 ₽</w:t>
            </w:r>
          </w:p>
        </w:tc>
      </w:tr>
      <w:tr w:rsidR="002B13D5" w:rsidRPr="002B13D5" w:rsidTr="00F61EB3">
        <w:trPr>
          <w:trHeight w:val="8192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D5" w:rsidRPr="002B13D5" w:rsidRDefault="00C73416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2B78034F" wp14:editId="3623BE1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4445</wp:posOffset>
                  </wp:positionV>
                  <wp:extent cx="6457950" cy="2609850"/>
                  <wp:effectExtent l="0" t="0" r="0" b="0"/>
                  <wp:wrapNone/>
                  <wp:docPr id="12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0"/>
            </w:tblGrid>
            <w:tr w:rsidR="002B13D5" w:rsidRPr="002B13D5" w:rsidTr="00060357">
              <w:trPr>
                <w:trHeight w:val="8192"/>
                <w:tblCellSpacing w:w="0" w:type="dxa"/>
              </w:trPr>
              <w:tc>
                <w:tcPr>
                  <w:tcW w:w="12180" w:type="dxa"/>
                  <w:shd w:val="clear" w:color="auto" w:fill="auto"/>
                  <w:vAlign w:val="center"/>
                  <w:hideMark/>
                </w:tcPr>
                <w:p w:rsidR="002B13D5" w:rsidRPr="002B13D5" w:rsidRDefault="00C73416" w:rsidP="00C7341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B13D5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75648" behindDoc="0" locked="0" layoutInCell="1" allowOverlap="1" wp14:anchorId="14409B1A" wp14:editId="0D8AFC01">
                        <wp:simplePos x="0" y="0"/>
                        <wp:positionH relativeFrom="column">
                          <wp:posOffset>-47625</wp:posOffset>
                        </wp:positionH>
                        <wp:positionV relativeFrom="paragraph">
                          <wp:posOffset>2480310</wp:posOffset>
                        </wp:positionV>
                        <wp:extent cx="6372225" cy="2695575"/>
                        <wp:effectExtent l="0" t="0" r="0" b="0"/>
                        <wp:wrapNone/>
                        <wp:docPr id="13" name="Диаграмма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060357" w:rsidRPr="002B13D5" w:rsidTr="00D2789C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Экономия по результатам завершенных процедур, опубликованных на официальном сайте Единой информационной системы в сфере закупок в сети интернет, которые привели к заключению контракта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1 034,57 ₽</w:t>
            </w:r>
          </w:p>
        </w:tc>
      </w:tr>
      <w:tr w:rsidR="00060357" w:rsidRPr="002B13D5" w:rsidTr="00D2789C">
        <w:trPr>
          <w:trHeight w:val="5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5,43%</w:t>
            </w:r>
          </w:p>
        </w:tc>
      </w:tr>
      <w:tr w:rsidR="00060357" w:rsidRPr="002B13D5" w:rsidTr="00D2789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количество поставщиков (подрядчиков, исполнителей), принявших участие в закупках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D5" w:rsidRPr="002B13D5" w:rsidRDefault="002B13D5" w:rsidP="002B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3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DD7742" w:rsidRDefault="00DD7742" w:rsidP="00613955">
      <w:pPr>
        <w:tabs>
          <w:tab w:val="left" w:pos="7383"/>
        </w:tabs>
        <w:spacing w:line="312" w:lineRule="auto"/>
        <w:ind w:firstLine="53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DD7742" w:rsidRPr="00757B29" w:rsidRDefault="00DD7742" w:rsidP="00613955">
      <w:pPr>
        <w:tabs>
          <w:tab w:val="left" w:pos="7383"/>
        </w:tabs>
        <w:spacing w:line="312" w:lineRule="auto"/>
        <w:ind w:firstLine="53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27A80" w:rsidRDefault="00527A80" w:rsidP="00527A80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027A">
        <w:rPr>
          <w:rFonts w:ascii="Times New Roman" w:hAnsi="Times New Roman" w:cs="Times New Roman"/>
          <w:b/>
          <w:i/>
          <w:sz w:val="28"/>
          <w:szCs w:val="28"/>
        </w:rPr>
        <w:t xml:space="preserve">Раздел 9. Анализ </w:t>
      </w:r>
      <w:r w:rsidRPr="00B6027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эффективности системы закупок товаров </w:t>
      </w:r>
      <w:r w:rsidR="00B6027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br/>
      </w:r>
      <w:r w:rsidRPr="00B6027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(работ, услуг) для муниципальных нужд</w:t>
      </w:r>
    </w:p>
    <w:p w:rsidR="00527A80" w:rsidRDefault="00527A80" w:rsidP="00527A80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3458" w:rsidRDefault="00773CC6" w:rsidP="00773CC6">
      <w:pPr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02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повышения эффективности системы закупок товаров (работ, услуг) для муниципальных нужд Департаментом разработан и утвержден рекомендуемый для органов местного самоуправления муниципальных образований, расположенных на территории Свердловской области, план мероприятий «Повышение эффективности системы закупок товаров (работ, </w:t>
      </w:r>
      <w:r w:rsidRPr="00B602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услуг) для муниципальных нужд»</w:t>
      </w:r>
      <w:r w:rsidR="00B602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план)</w:t>
      </w:r>
      <w:r w:rsidRPr="00B602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3458" w:rsidRPr="006B3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B3458" w:rsidRDefault="006B3458" w:rsidP="00773CC6">
      <w:pPr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Департаментом проведен предварительный мониторинг результатов мероприятий за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6B3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полугодие 2018 года. </w:t>
      </w:r>
    </w:p>
    <w:p w:rsidR="00D2789C" w:rsidRDefault="006B3458" w:rsidP="00D2789C">
      <w:pPr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мероприятий плана достигаетс</w:t>
      </w:r>
      <w:r w:rsidR="00D2789C">
        <w:rPr>
          <w:rFonts w:ascii="Times New Roman" w:eastAsia="Calibri" w:hAnsi="Times New Roman" w:cs="Times New Roman"/>
          <w:sz w:val="28"/>
          <w:szCs w:val="28"/>
          <w:lang w:eastAsia="en-US"/>
        </w:rPr>
        <w:t>я по итогам года.</w:t>
      </w:r>
    </w:p>
    <w:p w:rsidR="0029379D" w:rsidRDefault="0029379D" w:rsidP="00797C3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293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полугодия 2018 года в Департамент поступили отчеты о ходе реализации плана</w:t>
      </w:r>
      <w:r w:rsid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60 </w:t>
      </w:r>
      <w:r w:rsidRPr="00A76B8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образований, расположенных на территории Свердловской области</w:t>
      </w:r>
      <w:r w:rsidR="00D71C7D" w:rsidRPr="00A76B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муниципальные образования)</w:t>
      </w:r>
      <w:r w:rsid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1C7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94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E5ED7" w:rsidRDefault="004E5ED7" w:rsidP="00797C3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отчетов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образований</w:t>
      </w:r>
      <w:r w:rsidR="00C04245" w:rsidRPr="00C042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4245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 следующая информация.</w:t>
      </w:r>
    </w:p>
    <w:p w:rsidR="00D71C7D" w:rsidRDefault="00D71C7D" w:rsidP="00797C3C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35</w:t>
      </w:r>
      <w:r w:rsidR="004E5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60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с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>оздан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>, уполномоченны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9E690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осуществляющи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на определение поставщиков (подрядчиков, исполнителей) для заказчиков муниципального образования.</w:t>
      </w:r>
    </w:p>
    <w:p w:rsidR="00D71C7D" w:rsidRDefault="00D71C7D" w:rsidP="00D71C7D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всех 60 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уполномоченного органа, контрактных служб, контрактных управляющих, членов комиссий по осуществлению зак</w:t>
      </w:r>
      <w:r w:rsidR="00833AD9">
        <w:rPr>
          <w:rFonts w:ascii="Times New Roman" w:eastAsia="Calibri" w:hAnsi="Times New Roman" w:cs="Times New Roman"/>
          <w:sz w:val="28"/>
          <w:szCs w:val="28"/>
          <w:lang w:eastAsia="en-US"/>
        </w:rPr>
        <w:t>упок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3AD9">
        <w:rPr>
          <w:rFonts w:ascii="Times New Roman" w:eastAsia="Calibri" w:hAnsi="Times New Roman" w:cs="Times New Roman"/>
          <w:sz w:val="28"/>
          <w:szCs w:val="28"/>
          <w:lang w:eastAsia="en-US"/>
        </w:rPr>
        <w:t>прошли</w:t>
      </w:r>
      <w:r w:rsidRPr="00D7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профессиональную переподготовку или повышение квалификации в сфере закупок</w:t>
      </w:r>
      <w:r w:rsidR="004E5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предшествующие 3 года</w:t>
      </w:r>
      <w:r w:rsid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Также специалисты </w:t>
      </w:r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заказчиков</w:t>
      </w:r>
      <w:r w:rsid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</w:t>
      </w:r>
      <w:r w:rsidR="004E5ED7">
        <w:rPr>
          <w:rFonts w:ascii="Times New Roman" w:eastAsia="Calibri" w:hAnsi="Times New Roman" w:cs="Times New Roman"/>
          <w:sz w:val="28"/>
          <w:szCs w:val="28"/>
          <w:lang w:eastAsia="en-US"/>
        </w:rPr>
        <w:t>яли</w:t>
      </w:r>
      <w:r w:rsid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</w:t>
      </w:r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семинар</w:t>
      </w:r>
      <w:r w:rsidR="004E5ED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, пров</w:t>
      </w:r>
      <w:r w:rsidR="004E5ED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4E5ED7">
        <w:rPr>
          <w:rFonts w:ascii="Times New Roman" w:eastAsia="Calibri" w:hAnsi="Times New Roman" w:cs="Times New Roman"/>
          <w:sz w:val="28"/>
          <w:szCs w:val="28"/>
          <w:lang w:eastAsia="en-US"/>
        </w:rPr>
        <w:t>енном</w:t>
      </w:r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Департаментом</w:t>
      </w:r>
      <w:r w:rsidR="004E5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26.04.2018.</w:t>
      </w:r>
    </w:p>
    <w:p w:rsidR="00833AD9" w:rsidRDefault="00A76B8F" w:rsidP="00833AD9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</w:t>
      </w:r>
      <w:r w:rsid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всех </w:t>
      </w:r>
      <w:r w:rsidR="00833AD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образований утвержден</w:t>
      </w:r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формирования, утверждения и ведения планов-графиков закупок </w:t>
      </w:r>
      <w:r w:rsidR="00833AD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обеспечения муниципальных нужд в соответствии со ст. 21 Закона о контрактной системе, </w:t>
      </w:r>
      <w:r w:rsidR="00833A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</w:t>
      </w:r>
      <w:proofErr w:type="gramEnd"/>
      <w:r w:rsidR="00833AD9"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товаров, работ, услуг»</w:t>
      </w:r>
      <w:r w:rsidR="00833A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3AD9" w:rsidRDefault="00833AD9" w:rsidP="00833AD9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дминистрациями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порядку разработки и принятия правовых актов о нормировании в сфере закупок, а так же правил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определения требований к закупаемым отдельным видам товаров, работ, услуг (в том числе предельные цены товаров, работ, услуг) и нормативны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затрат на обеспечение функций муниципальных органов в соответствии со ст. 19 Закона о контрактной системе,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Правительства Российской Федерации от</w:t>
      </w:r>
      <w:proofErr w:type="gramEnd"/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18.05.2015 № 476 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Свердловской области от 04.02.2016 № 69-ПП «Об утверждении Требований к порядку разработки и принятия правовых актов о нормировании в сфере закупок для обеспечения нужд Свердловской области, содержанию указанных актов и обеспечению их исполнения»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833AD9" w:rsidRDefault="00833AD9" w:rsidP="00833AD9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повышения эффективности расходования бюджетных сре</w:t>
      </w:r>
      <w:proofErr w:type="gramStart"/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дств ср</w:t>
      </w:r>
      <w:proofErr w:type="gramEnd"/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процедур распредел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яются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длительности процедур определения поставщика (подрядчика, исполнителя), заключения контракта и его исполнения, а также 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итывается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сезонност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выполняемых работ, оказываемых услуг.</w:t>
      </w:r>
    </w:p>
    <w:p w:rsidR="00C04245" w:rsidRDefault="00833AD9" w:rsidP="00833AD9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одготовк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и расчет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обоснования начальной (максимальной) цены контракта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с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рименение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распоряжения Правительства Свердловской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>от 06.04.2015 №344-РП «Об утверждении методических рекомендаций по применению методов определения начальной (максимальной) цены контракта, цены контракта, заключаемого с</w:t>
      </w:r>
      <w:proofErr w:type="gramEnd"/>
      <w:r w:rsidRPr="00833A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единственным поставщиком (подрядчиком, исполнителем) для нужд Свердловской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D2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3AD9" w:rsidRDefault="00FD2BBC" w:rsidP="00833AD9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D2BBC">
        <w:rPr>
          <w:rFonts w:ascii="Times New Roman" w:eastAsia="Calibri" w:hAnsi="Times New Roman" w:cs="Times New Roman"/>
          <w:sz w:val="28"/>
          <w:szCs w:val="28"/>
          <w:lang w:eastAsia="en-US"/>
        </w:rPr>
        <w:t>босновани</w:t>
      </w:r>
      <w:r w:rsidR="00B23E8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D2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начальной (максимальной) цены контракта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закупкам в сфере капитального строительства формируется</w:t>
      </w:r>
      <w:r w:rsidRPr="00FD2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</w:t>
      </w:r>
      <w:proofErr w:type="gramStart"/>
      <w:r w:rsidRPr="00FD2BB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результатов проведенной государственной экспертизы проектной документации объектов капитального строительства</w:t>
      </w:r>
      <w:proofErr w:type="gramEnd"/>
      <w:r w:rsidRPr="00FD2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результатов инженерных изысканий, выполненных для подготовки такой проектной документации в случаях, установленных ст. 49 Градостроительного кодекса РФ.</w:t>
      </w:r>
    </w:p>
    <w:p w:rsidR="00FD2BBC" w:rsidRDefault="00FD2BBC" w:rsidP="00833AD9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Доля закупок, проводимых</w:t>
      </w:r>
      <w:r w:rsidRPr="00FD2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муниципальными образованиями </w:t>
      </w:r>
      <w:r w:rsidRPr="00FD2BBC">
        <w:rPr>
          <w:rFonts w:ascii="Times New Roman" w:eastAsia="Calibri" w:hAnsi="Times New Roman" w:cs="Times New Roman"/>
          <w:sz w:val="28"/>
          <w:szCs w:val="28"/>
          <w:lang w:eastAsia="en-US"/>
        </w:rPr>
        <w:t>конкурентны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FD2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способами</w:t>
      </w:r>
      <w:r w:rsidR="00B23E8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D2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общего числа закупок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среднем составляет более 60</w:t>
      </w:r>
      <w:r w:rsidR="00356FC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%. Доля</w:t>
      </w:r>
      <w:r w:rsidRPr="00FD2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закупок у субъектов малого предпринимательства, социально ориентированных некоммерческих организаций</w:t>
      </w:r>
      <w:r w:rsidR="00B23E8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со </w:t>
      </w:r>
      <w:r w:rsidR="00356FC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56FC1"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>ст. 30 Закона о контрактной системе</w:t>
      </w:r>
      <w:r w:rsidR="00356FC1">
        <w:rPr>
          <w:rFonts w:ascii="Times New Roman" w:eastAsia="Calibri" w:hAnsi="Times New Roman" w:cs="Times New Roman"/>
          <w:sz w:val="28"/>
          <w:szCs w:val="28"/>
          <w:lang w:eastAsia="en-US"/>
        </w:rPr>
        <w:t>, в среднем составляет более 15 %</w:t>
      </w:r>
      <w:r w:rsidR="00C042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предусмотренных </w:t>
      </w:r>
      <w:r w:rsidR="00C04245" w:rsidRPr="00C04245">
        <w:rPr>
          <w:rFonts w:ascii="Times New Roman" w:eastAsia="Calibri" w:hAnsi="Times New Roman" w:cs="Times New Roman"/>
          <w:sz w:val="28"/>
          <w:szCs w:val="28"/>
          <w:lang w:eastAsia="en-US"/>
        </w:rPr>
        <w:t>Закон</w:t>
      </w:r>
      <w:r w:rsidR="00C04245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C04245" w:rsidRPr="00C042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контрактной системе</w:t>
      </w:r>
      <w:r w:rsidR="00356F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56FC1" w:rsidRDefault="00356FC1" w:rsidP="00833AD9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Муниципальными заказчиками в основном и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>спольз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уются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>етодически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рекомендаци</w:t>
      </w:r>
      <w:r w:rsidR="00256BD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>иповы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контрактов, конкурсных (аукционных) документаций, технических заданий, разраб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анны</w:t>
      </w:r>
      <w:r w:rsidR="00B23E8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Департаментом и размещ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енны</w:t>
      </w:r>
      <w:r w:rsidR="00B23E8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</w:t>
      </w:r>
      <w:r w:rsidR="00256BDF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</w:t>
      </w:r>
      <w:r w:rsidR="00256BD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закупок Свердловской области.</w:t>
      </w:r>
    </w:p>
    <w:p w:rsidR="00356FC1" w:rsidRDefault="00356FC1" w:rsidP="00356FC1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муниципальных образованиях, в которых 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>созданы уполномоченные органы, уполномоченные учреждения</w:t>
      </w:r>
      <w:r w:rsidR="009E690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осуществляющие полномочия на определение поставщиков (подрядчиков, исполнителей) для заказчиков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созданы и функционируют 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>едины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</w:t>
      </w:r>
      <w:r w:rsidR="00B23E8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осуществляющи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функции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поставщиков (подрядчиков, исполнителей)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закупк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ам,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имых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путем конкурсов, аукционов, запросов котировок, запросов предложений</w:t>
      </w:r>
      <w:r w:rsidR="009E69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9E6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</w:t>
      </w:r>
      <w:r w:rsidR="009E690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356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преимущественно из лиц, прошедших профессиональную переподготовку или </w:t>
      </w:r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квалификации в сфере закупок, а также лиц, обладающих специальными знаниями, относящимися к объект</w:t>
      </w:r>
      <w:r w:rsidR="00067E44"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закуп</w:t>
      </w:r>
      <w:r w:rsidR="00067E44"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>к.</w:t>
      </w:r>
    </w:p>
    <w:p w:rsidR="00067E44" w:rsidRPr="00067E44" w:rsidRDefault="00067E44" w:rsidP="00067E44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I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полугодии</w:t>
      </w:r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2018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Департаментом</w:t>
      </w:r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осуществлялся мониторинг и анализ случаев нарушения муниципальными заказчиками Порядка взаимодействия Департамента и заказчиков Свердловской области в сфере закупок товаров, работ, услуг для нужд Свердловской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Порядок взаимодействия), утвержденного постановлением Правительства Свердловской области от 27.12.2013 № 1665-ПП и соглашений о передаче Департаменту полномочий на определение поставщиков (подрядчиков, исполнителей) при расходовании средств субсидий, предоставляемых из областного</w:t>
      </w:r>
      <w:proofErr w:type="gramEnd"/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бюджета, в случаях если </w:t>
      </w:r>
      <w:proofErr w:type="gramStart"/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>Н(</w:t>
      </w:r>
      <w:proofErr w:type="gramEnd"/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>М)ЦК составляет 10 млн. рублей и более (далее – соглашения) и проведения муниципальными заказчиками таких закупок самостоятельно.</w:t>
      </w:r>
    </w:p>
    <w:p w:rsidR="00067E44" w:rsidRPr="0029379D" w:rsidRDefault="00067E44" w:rsidP="00067E44">
      <w:pPr>
        <w:widowControl/>
        <w:autoSpaceDE/>
        <w:autoSpaceDN/>
        <w:adjustRightInd/>
        <w:spacing w:line="312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>За отчетный период Департаментом выявлен</w:t>
      </w:r>
      <w:r w:rsidR="0085273F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05375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</w:t>
      </w:r>
      <w:r w:rsidR="0085273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067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нарушения Порядка взаимодействия. По результатам выявленных нарушений в адрес администраций муниципальных образований направлены письма с исчерпывающей информацией о порядке направления заявок в Департамент и принятии безотлагательных мер по соблюдению законодательства в сфере закупок. Организована работа по проведению рабочих встреч по фактам нарушений с администрациями муниципальных образований, расположенных на территории Свердловской области.</w:t>
      </w:r>
    </w:p>
    <w:p w:rsidR="00797C3C" w:rsidRDefault="00797C3C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BDF" w:rsidRDefault="00256BDF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1C0B" w:rsidRPr="003A6B6C" w:rsidRDefault="00C11C0B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AB2E0F" w:rsidRPr="003A6B6C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FA1B31"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 Анализ реестра жалоб, плановых и внеплановых проверок, принятых по ним решений и выданных предписаний.</w:t>
      </w:r>
    </w:p>
    <w:p w:rsidR="00FA1B31" w:rsidRPr="003A6B6C" w:rsidRDefault="00FA1B31" w:rsidP="00613955">
      <w:pPr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49F0" w:rsidRPr="003A6B6C" w:rsidRDefault="00167ED8" w:rsidP="00613955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 xml:space="preserve">Министерство финансов Свердловской области является  уполномоченным органом на осуществление контроля в сфере закупок в </w:t>
      </w:r>
      <w:r w:rsidR="006C0245" w:rsidRPr="003A6B6C">
        <w:rPr>
          <w:rFonts w:ascii="Times New Roman" w:hAnsi="Times New Roman" w:cs="Times New Roman"/>
          <w:sz w:val="28"/>
          <w:szCs w:val="28"/>
        </w:rPr>
        <w:t>соответствии с п</w:t>
      </w:r>
      <w:r w:rsidR="004F37ED" w:rsidRPr="003A6B6C">
        <w:rPr>
          <w:rFonts w:ascii="Times New Roman" w:hAnsi="Times New Roman" w:cs="Times New Roman"/>
          <w:sz w:val="28"/>
          <w:szCs w:val="28"/>
        </w:rPr>
        <w:t xml:space="preserve">. </w:t>
      </w:r>
      <w:r w:rsidR="006C0245" w:rsidRPr="003A6B6C">
        <w:rPr>
          <w:rFonts w:ascii="Times New Roman" w:hAnsi="Times New Roman" w:cs="Times New Roman"/>
          <w:sz w:val="28"/>
          <w:szCs w:val="28"/>
        </w:rPr>
        <w:t>2 ч</w:t>
      </w:r>
      <w:r w:rsidR="004F37ED" w:rsidRPr="003A6B6C">
        <w:rPr>
          <w:rFonts w:ascii="Times New Roman" w:hAnsi="Times New Roman" w:cs="Times New Roman"/>
          <w:sz w:val="28"/>
          <w:szCs w:val="28"/>
        </w:rPr>
        <w:t xml:space="preserve">. </w:t>
      </w:r>
      <w:r w:rsidR="006C0245" w:rsidRPr="003A6B6C">
        <w:rPr>
          <w:rFonts w:ascii="Times New Roman" w:hAnsi="Times New Roman" w:cs="Times New Roman"/>
          <w:sz w:val="28"/>
          <w:szCs w:val="28"/>
        </w:rPr>
        <w:t>3 ст</w:t>
      </w:r>
      <w:r w:rsidR="003C1A88" w:rsidRPr="003A6B6C">
        <w:rPr>
          <w:rFonts w:ascii="Times New Roman" w:hAnsi="Times New Roman" w:cs="Times New Roman"/>
          <w:sz w:val="28"/>
          <w:szCs w:val="28"/>
        </w:rPr>
        <w:t>.</w:t>
      </w:r>
      <w:r w:rsidR="006C0245" w:rsidRPr="003A6B6C">
        <w:rPr>
          <w:rFonts w:ascii="Times New Roman" w:hAnsi="Times New Roman" w:cs="Times New Roman"/>
          <w:sz w:val="28"/>
          <w:szCs w:val="28"/>
        </w:rPr>
        <w:t xml:space="preserve"> 99 Закона о контрактной системе контроль в сфере закупок, за исключением контроля, предусмотренного частями 5, 8 и 10</w:t>
      </w:r>
      <w:r w:rsidR="003C1A88" w:rsidRPr="003A6B6C">
        <w:rPr>
          <w:rFonts w:ascii="Times New Roman" w:hAnsi="Times New Roman" w:cs="Times New Roman"/>
          <w:sz w:val="28"/>
          <w:szCs w:val="28"/>
        </w:rPr>
        <w:t xml:space="preserve"> </w:t>
      </w:r>
      <w:r w:rsidR="005A068F" w:rsidRPr="003A6B6C">
        <w:rPr>
          <w:rFonts w:ascii="Times New Roman" w:hAnsi="Times New Roman" w:cs="Times New Roman"/>
          <w:sz w:val="28"/>
          <w:szCs w:val="28"/>
        </w:rPr>
        <w:br/>
      </w:r>
      <w:r w:rsidR="006C0245" w:rsidRPr="003A6B6C">
        <w:rPr>
          <w:rFonts w:ascii="Times New Roman" w:hAnsi="Times New Roman" w:cs="Times New Roman"/>
          <w:sz w:val="28"/>
          <w:szCs w:val="28"/>
        </w:rPr>
        <w:t>ст</w:t>
      </w:r>
      <w:r w:rsidR="003C1A88" w:rsidRPr="003A6B6C">
        <w:rPr>
          <w:rFonts w:ascii="Times New Roman" w:hAnsi="Times New Roman" w:cs="Times New Roman"/>
          <w:sz w:val="28"/>
          <w:szCs w:val="28"/>
        </w:rPr>
        <w:t>.</w:t>
      </w:r>
      <w:r w:rsidR="006C0245" w:rsidRPr="003A6B6C">
        <w:rPr>
          <w:rFonts w:ascii="Times New Roman" w:hAnsi="Times New Roman" w:cs="Times New Roman"/>
          <w:sz w:val="28"/>
          <w:szCs w:val="28"/>
        </w:rPr>
        <w:t xml:space="preserve"> 99 Закона о контрактной системе.</w:t>
      </w:r>
    </w:p>
    <w:p w:rsidR="00C11C0B" w:rsidRPr="003A6B6C" w:rsidRDefault="00C11C0B" w:rsidP="00613955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>С целью организации контрольной деятельности в сфере закупок Министерством финансов Свердловской области в 201</w:t>
      </w:r>
      <w:r w:rsidR="009C64DD" w:rsidRPr="003A6B6C">
        <w:rPr>
          <w:rFonts w:ascii="Times New Roman" w:hAnsi="Times New Roman" w:cs="Times New Roman"/>
          <w:sz w:val="28"/>
          <w:szCs w:val="28"/>
        </w:rPr>
        <w:t>8</w:t>
      </w:r>
      <w:r w:rsidRPr="003A6B6C">
        <w:rPr>
          <w:rFonts w:ascii="Times New Roman" w:hAnsi="Times New Roman" w:cs="Times New Roman"/>
          <w:sz w:val="28"/>
          <w:szCs w:val="28"/>
        </w:rPr>
        <w:t xml:space="preserve"> году утвержден и реализовыва</w:t>
      </w:r>
      <w:r w:rsidR="009C64DD" w:rsidRPr="003A6B6C">
        <w:rPr>
          <w:rFonts w:ascii="Times New Roman" w:hAnsi="Times New Roman" w:cs="Times New Roman"/>
          <w:sz w:val="28"/>
          <w:szCs w:val="28"/>
        </w:rPr>
        <w:t>ется</w:t>
      </w:r>
      <w:r w:rsidRPr="003A6B6C">
        <w:rPr>
          <w:rFonts w:ascii="Times New Roman" w:hAnsi="Times New Roman" w:cs="Times New Roman"/>
          <w:sz w:val="28"/>
          <w:szCs w:val="28"/>
        </w:rPr>
        <w:t xml:space="preserve"> план проверок.</w:t>
      </w:r>
    </w:p>
    <w:p w:rsidR="00C11C0B" w:rsidRPr="003A6B6C" w:rsidRDefault="00C11C0B" w:rsidP="00613955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информация о результатах контроля в сфере закупок и выданных предписаниях размещается на официальном сайте </w:t>
      </w:r>
      <w:r w:rsidR="00C84B26">
        <w:rPr>
          <w:rFonts w:ascii="Times New Roman" w:hAnsi="Times New Roman" w:cs="Times New Roman"/>
          <w:sz w:val="28"/>
          <w:szCs w:val="28"/>
        </w:rPr>
        <w:t>ЕИС</w:t>
      </w:r>
      <w:r w:rsidRPr="003A6B6C">
        <w:rPr>
          <w:rFonts w:ascii="Times New Roman" w:hAnsi="Times New Roman" w:cs="Times New Roman"/>
          <w:sz w:val="28"/>
          <w:szCs w:val="28"/>
        </w:rPr>
        <w:t xml:space="preserve"> и официальном сайте Министерства финансов Свердловской области minfin.midural.ru.</w:t>
      </w:r>
    </w:p>
    <w:p w:rsidR="00C11C0B" w:rsidRPr="003A6B6C" w:rsidRDefault="00C11C0B" w:rsidP="00613955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 xml:space="preserve">В </w:t>
      </w:r>
      <w:r w:rsidR="009C64DD" w:rsidRPr="003A6B6C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3A6B6C">
        <w:rPr>
          <w:rFonts w:ascii="Times New Roman" w:hAnsi="Times New Roman" w:cs="Times New Roman"/>
          <w:sz w:val="28"/>
          <w:szCs w:val="28"/>
        </w:rPr>
        <w:t>201</w:t>
      </w:r>
      <w:r w:rsidR="009C64DD" w:rsidRPr="003A6B6C">
        <w:rPr>
          <w:rFonts w:ascii="Times New Roman" w:hAnsi="Times New Roman" w:cs="Times New Roman"/>
          <w:sz w:val="28"/>
          <w:szCs w:val="28"/>
        </w:rPr>
        <w:t>8</w:t>
      </w:r>
      <w:r w:rsidRPr="003A6B6C">
        <w:rPr>
          <w:rFonts w:ascii="Times New Roman" w:hAnsi="Times New Roman" w:cs="Times New Roman"/>
          <w:sz w:val="28"/>
          <w:szCs w:val="28"/>
        </w:rPr>
        <w:t xml:space="preserve"> год</w:t>
      </w:r>
      <w:r w:rsidR="009C64DD" w:rsidRPr="003A6B6C">
        <w:rPr>
          <w:rFonts w:ascii="Times New Roman" w:hAnsi="Times New Roman" w:cs="Times New Roman"/>
          <w:sz w:val="28"/>
          <w:szCs w:val="28"/>
        </w:rPr>
        <w:t>а</w:t>
      </w:r>
      <w:r w:rsidRPr="003A6B6C">
        <w:rPr>
          <w:rFonts w:ascii="Times New Roman" w:hAnsi="Times New Roman" w:cs="Times New Roman"/>
          <w:sz w:val="28"/>
          <w:szCs w:val="28"/>
        </w:rPr>
        <w:t xml:space="preserve"> Министерством финансов Свердловской области проведено </w:t>
      </w:r>
      <w:r w:rsidR="009C64DD" w:rsidRPr="003A6B6C">
        <w:rPr>
          <w:rFonts w:ascii="Times New Roman" w:hAnsi="Times New Roman" w:cs="Times New Roman"/>
          <w:sz w:val="28"/>
          <w:szCs w:val="28"/>
        </w:rPr>
        <w:t>19</w:t>
      </w:r>
      <w:r w:rsidRPr="003A6B6C">
        <w:rPr>
          <w:rFonts w:ascii="Times New Roman" w:hAnsi="Times New Roman" w:cs="Times New Roman"/>
          <w:sz w:val="28"/>
          <w:szCs w:val="28"/>
        </w:rPr>
        <w:t xml:space="preserve"> плановых проверок и </w:t>
      </w:r>
      <w:r w:rsidR="009C64DD" w:rsidRPr="003A6B6C">
        <w:rPr>
          <w:rFonts w:ascii="Times New Roman" w:hAnsi="Times New Roman" w:cs="Times New Roman"/>
          <w:sz w:val="28"/>
          <w:szCs w:val="28"/>
        </w:rPr>
        <w:t>4</w:t>
      </w:r>
      <w:r w:rsidRPr="003A6B6C">
        <w:rPr>
          <w:rFonts w:ascii="Times New Roman" w:hAnsi="Times New Roman" w:cs="Times New Roman"/>
          <w:sz w:val="28"/>
          <w:szCs w:val="28"/>
        </w:rPr>
        <w:t xml:space="preserve"> внеплановых проверки. По результа</w:t>
      </w:r>
      <w:r w:rsidR="009C64DD" w:rsidRPr="003A6B6C">
        <w:rPr>
          <w:rFonts w:ascii="Times New Roman" w:hAnsi="Times New Roman" w:cs="Times New Roman"/>
          <w:sz w:val="28"/>
          <w:szCs w:val="28"/>
        </w:rPr>
        <w:t>там проверок заказчикам выдано 26</w:t>
      </w:r>
      <w:r w:rsidRPr="003A6B6C">
        <w:rPr>
          <w:rFonts w:ascii="Times New Roman" w:hAnsi="Times New Roman" w:cs="Times New Roman"/>
          <w:sz w:val="28"/>
          <w:szCs w:val="28"/>
        </w:rPr>
        <w:t xml:space="preserve"> предписаний об устранении нарушений законодательства о контрактной системе. </w:t>
      </w:r>
    </w:p>
    <w:p w:rsidR="00530E0E" w:rsidRPr="003A6B6C" w:rsidRDefault="00530E0E" w:rsidP="00530E0E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3A6B6C">
        <w:rPr>
          <w:rFonts w:ascii="Times New Roman" w:hAnsi="Times New Roman" w:cs="Times New Roman"/>
          <w:iCs/>
          <w:sz w:val="28"/>
          <w:szCs w:val="28"/>
        </w:rPr>
        <w:t xml:space="preserve">В ходе проведения контрольных мероприятий выявлены следующие типичные нарушения </w:t>
      </w:r>
      <w:r w:rsidR="009C64DD" w:rsidRPr="003A6B6C">
        <w:rPr>
          <w:rFonts w:ascii="Times New Roman" w:hAnsi="Times New Roman" w:cs="Times New Roman"/>
          <w:iCs/>
          <w:sz w:val="28"/>
          <w:szCs w:val="28"/>
        </w:rPr>
        <w:t xml:space="preserve">требований, установленных Законом о контрактной системе, допускаемые </w:t>
      </w:r>
      <w:r w:rsidRPr="003A6B6C">
        <w:rPr>
          <w:rFonts w:ascii="Times New Roman" w:hAnsi="Times New Roman" w:cs="Times New Roman"/>
          <w:iCs/>
          <w:sz w:val="28"/>
          <w:szCs w:val="28"/>
        </w:rPr>
        <w:t>заказчиками</w:t>
      </w:r>
      <w:r w:rsidR="009C64DD" w:rsidRPr="003A6B6C">
        <w:rPr>
          <w:rFonts w:ascii="Times New Roman" w:hAnsi="Times New Roman" w:cs="Times New Roman"/>
          <w:iCs/>
          <w:sz w:val="28"/>
          <w:szCs w:val="28"/>
        </w:rPr>
        <w:t>,</w:t>
      </w:r>
      <w:r w:rsidRPr="003A6B6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30E0E" w:rsidRPr="003A6B6C" w:rsidRDefault="00530E0E" w:rsidP="00530E0E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>1) несоблюдение требований к ведению планов-графиков, размещению информации о закупках;</w:t>
      </w:r>
    </w:p>
    <w:p w:rsidR="00530E0E" w:rsidRPr="003A6B6C" w:rsidRDefault="00530E0E" w:rsidP="00530E0E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>2) неправомерный допуск участников к участию в аукционах (неправомерный отказ в допуске), неправомерное признание заявок на участие в закупках соответствующими установленным требованиям;</w:t>
      </w:r>
    </w:p>
    <w:p w:rsidR="00530E0E" w:rsidRPr="003A6B6C" w:rsidRDefault="00530E0E" w:rsidP="00530E0E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 xml:space="preserve">3) ограничение количества участников </w:t>
      </w:r>
      <w:r w:rsidR="00DF2A60" w:rsidRPr="003A6B6C">
        <w:rPr>
          <w:rFonts w:ascii="Times New Roman" w:hAnsi="Times New Roman" w:cs="Times New Roman"/>
          <w:sz w:val="28"/>
          <w:szCs w:val="28"/>
        </w:rPr>
        <w:t>закупок</w:t>
      </w:r>
      <w:r w:rsidRPr="003A6B6C">
        <w:rPr>
          <w:rFonts w:ascii="Times New Roman" w:hAnsi="Times New Roman" w:cs="Times New Roman"/>
          <w:sz w:val="28"/>
          <w:szCs w:val="28"/>
        </w:rPr>
        <w:t xml:space="preserve"> путем установления излишних требований к закупаемой продукции;</w:t>
      </w:r>
    </w:p>
    <w:p w:rsidR="00530E0E" w:rsidRPr="003A6B6C" w:rsidRDefault="00530E0E" w:rsidP="00530E0E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>4) неисполнение обязанности проводить закупки у субъектов малого предпринимательства и социально ориентированных некоммерческих организаций;</w:t>
      </w:r>
    </w:p>
    <w:p w:rsidR="00530E0E" w:rsidRPr="003A6B6C" w:rsidRDefault="00530E0E" w:rsidP="00530E0E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>5) отсутствие в протоколах, составленных комиссиями по осуществлению закупок, обоснования причин отклонения заявок;</w:t>
      </w:r>
    </w:p>
    <w:p w:rsidR="00530E0E" w:rsidRPr="003A6B6C" w:rsidRDefault="00530E0E" w:rsidP="00530E0E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lastRenderedPageBreak/>
        <w:t xml:space="preserve">6) заключение контрактов без надлежащего обеспечения исполнения </w:t>
      </w:r>
      <w:r w:rsidRPr="003A6B6C">
        <w:rPr>
          <w:rFonts w:ascii="Times New Roman" w:hAnsi="Times New Roman" w:cs="Times New Roman"/>
          <w:sz w:val="28"/>
          <w:szCs w:val="28"/>
        </w:rPr>
        <w:br/>
        <w:t>в случае снижения цены контракта на 25% и более от начальной (максимальной) цены контракта.</w:t>
      </w:r>
    </w:p>
    <w:p w:rsidR="00C11C0B" w:rsidRPr="003A6B6C" w:rsidRDefault="00C11C0B" w:rsidP="00613955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3A6B6C">
        <w:rPr>
          <w:rFonts w:ascii="Times New Roman" w:hAnsi="Times New Roman" w:cs="Times New Roman"/>
          <w:sz w:val="28"/>
          <w:szCs w:val="28"/>
        </w:rPr>
        <w:t>Также</w:t>
      </w:r>
      <w:r w:rsidR="00B23E83">
        <w:rPr>
          <w:rFonts w:ascii="Times New Roman" w:hAnsi="Times New Roman" w:cs="Times New Roman"/>
          <w:sz w:val="28"/>
          <w:szCs w:val="28"/>
        </w:rPr>
        <w:t>,</w:t>
      </w:r>
      <w:r w:rsidRPr="003A6B6C">
        <w:rPr>
          <w:rFonts w:ascii="Times New Roman" w:hAnsi="Times New Roman" w:cs="Times New Roman"/>
          <w:sz w:val="28"/>
          <w:szCs w:val="28"/>
        </w:rPr>
        <w:t xml:space="preserve"> Минфином Свердловской области в </w:t>
      </w:r>
      <w:r w:rsidR="009C64DD" w:rsidRPr="003A6B6C">
        <w:rPr>
          <w:rFonts w:ascii="Times New Roman" w:hAnsi="Times New Roman" w:cs="Times New Roman"/>
          <w:sz w:val="28"/>
          <w:szCs w:val="28"/>
        </w:rPr>
        <w:t>первом полугодии 2018</w:t>
      </w:r>
      <w:r w:rsidRPr="003A6B6C">
        <w:rPr>
          <w:rFonts w:ascii="Times New Roman" w:hAnsi="Times New Roman" w:cs="Times New Roman"/>
          <w:sz w:val="28"/>
          <w:szCs w:val="28"/>
        </w:rPr>
        <w:t xml:space="preserve"> год</w:t>
      </w:r>
      <w:r w:rsidR="009C64DD" w:rsidRPr="003A6B6C">
        <w:rPr>
          <w:rFonts w:ascii="Times New Roman" w:hAnsi="Times New Roman" w:cs="Times New Roman"/>
          <w:sz w:val="28"/>
          <w:szCs w:val="28"/>
        </w:rPr>
        <w:t>а</w:t>
      </w:r>
      <w:r w:rsidRPr="003A6B6C">
        <w:rPr>
          <w:rFonts w:ascii="Times New Roman" w:hAnsi="Times New Roman" w:cs="Times New Roman"/>
          <w:sz w:val="28"/>
          <w:szCs w:val="28"/>
        </w:rPr>
        <w:t xml:space="preserve"> реализовывалась контрольная функция в сфере закупок при рассмотрении обращений заказчиков о согласовании заключения контрактов с единственным поставщиком (п. 25 ч. 1 ст. 93 </w:t>
      </w:r>
      <w:r w:rsidR="0077648D" w:rsidRPr="003A6B6C">
        <w:rPr>
          <w:rFonts w:ascii="Times New Roman" w:hAnsi="Times New Roman" w:cs="Times New Roman"/>
          <w:iCs/>
          <w:sz w:val="28"/>
          <w:szCs w:val="28"/>
        </w:rPr>
        <w:t>Закона о контрактной системе</w:t>
      </w:r>
      <w:r w:rsidRPr="003A6B6C">
        <w:rPr>
          <w:rFonts w:ascii="Times New Roman" w:hAnsi="Times New Roman" w:cs="Times New Roman"/>
          <w:sz w:val="28"/>
          <w:szCs w:val="28"/>
        </w:rPr>
        <w:t xml:space="preserve">) и проверке законности заключения </w:t>
      </w:r>
      <w:proofErr w:type="spellStart"/>
      <w:r w:rsidRPr="003A6B6C">
        <w:rPr>
          <w:rFonts w:ascii="Times New Roman" w:hAnsi="Times New Roman" w:cs="Times New Roman"/>
          <w:sz w:val="28"/>
          <w:szCs w:val="28"/>
        </w:rPr>
        <w:t>госзаказчиками</w:t>
      </w:r>
      <w:proofErr w:type="spellEnd"/>
      <w:r w:rsidRPr="003A6B6C">
        <w:rPr>
          <w:rFonts w:ascii="Times New Roman" w:hAnsi="Times New Roman" w:cs="Times New Roman"/>
          <w:sz w:val="28"/>
          <w:szCs w:val="28"/>
        </w:rPr>
        <w:t xml:space="preserve"> Свердловской области контрактов с единственным поставщиком (п. 6 и 9 ч. 1 ст. 93 </w:t>
      </w:r>
      <w:r w:rsidR="0077648D" w:rsidRPr="003A6B6C">
        <w:rPr>
          <w:rFonts w:ascii="Times New Roman" w:hAnsi="Times New Roman" w:cs="Times New Roman"/>
          <w:iCs/>
          <w:sz w:val="28"/>
          <w:szCs w:val="28"/>
        </w:rPr>
        <w:t>Закона о контрактной системе</w:t>
      </w:r>
      <w:r w:rsidRPr="003A6B6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C64DD" w:rsidRPr="003A6B6C" w:rsidRDefault="009C64DD" w:rsidP="009C64DD">
      <w:pPr>
        <w:widowControl/>
        <w:autoSpaceDE/>
        <w:autoSpaceDN/>
        <w:adjustRightInd/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3A6B6C">
        <w:rPr>
          <w:rFonts w:ascii="Times New Roman" w:hAnsi="Times New Roman" w:cs="Times New Roman"/>
          <w:sz w:val="28"/>
          <w:szCs w:val="28"/>
        </w:rPr>
        <w:t xml:space="preserve">Контроль в соответствии с ч. 5, ч. 6 ст. 99 </w:t>
      </w:r>
      <w:r w:rsidR="00C04245" w:rsidRPr="000F2BA8">
        <w:rPr>
          <w:rFonts w:ascii="Times New Roman" w:hAnsi="Times New Roman" w:cs="Times New Roman"/>
          <w:sz w:val="28"/>
          <w:szCs w:val="28"/>
        </w:rPr>
        <w:t>Закон</w:t>
      </w:r>
      <w:r w:rsidR="00C04245">
        <w:rPr>
          <w:rFonts w:ascii="Times New Roman" w:hAnsi="Times New Roman" w:cs="Times New Roman"/>
          <w:sz w:val="28"/>
          <w:szCs w:val="28"/>
        </w:rPr>
        <w:t>а</w:t>
      </w:r>
      <w:r w:rsidR="00C04245" w:rsidRPr="000F2BA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Pr="003A6B6C">
        <w:rPr>
          <w:rFonts w:ascii="Times New Roman" w:hAnsi="Times New Roman" w:cs="Times New Roman"/>
          <w:sz w:val="28"/>
          <w:szCs w:val="28"/>
        </w:rPr>
        <w:t xml:space="preserve"> осуществляется в полном объеме в соответствии с приказом Минфина Свердловской области от 26.12.2016 № 509 «Об утверждении Порядка взаимодействия МФ СО с субъектами контроля, указанными в п. 4 Правил осуществления контроля, предусмотренного ч. 5 ст. 99 ФЗ «О контрактной системе в сфере закупок товаров, работ, услуг для</w:t>
      </w:r>
      <w:proofErr w:type="gramEnd"/>
      <w:r w:rsidRPr="003A6B6C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нужд», </w:t>
      </w:r>
      <w:proofErr w:type="gramStart"/>
      <w:r w:rsidRPr="003A6B6C">
        <w:rPr>
          <w:rFonts w:ascii="Times New Roman" w:hAnsi="Times New Roman" w:cs="Times New Roman"/>
          <w:sz w:val="28"/>
          <w:szCs w:val="28"/>
        </w:rPr>
        <w:t>осуществлен Министерством финансов Свердловской области за период с 01.01.2018 по 30.06.2018  поступили</w:t>
      </w:r>
      <w:proofErr w:type="gramEnd"/>
      <w:r w:rsidRPr="003A6B6C">
        <w:rPr>
          <w:rFonts w:ascii="Times New Roman" w:hAnsi="Times New Roman" w:cs="Times New Roman"/>
          <w:sz w:val="28"/>
          <w:szCs w:val="28"/>
        </w:rPr>
        <w:t xml:space="preserve"> на финансовый контроль </w:t>
      </w:r>
      <w:r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80 210 </w:t>
      </w:r>
      <w:r w:rsidRPr="003A6B6C">
        <w:rPr>
          <w:rFonts w:ascii="Times New Roman" w:hAnsi="Times New Roman" w:cs="Times New Roman"/>
          <w:sz w:val="28"/>
          <w:szCs w:val="28"/>
        </w:rPr>
        <w:t xml:space="preserve">документов, из них </w:t>
      </w:r>
      <w:r w:rsidRPr="003A6B6C">
        <w:rPr>
          <w:rFonts w:ascii="Times New Roman" w:hAnsi="Times New Roman" w:cs="Times New Roman"/>
          <w:sz w:val="28"/>
          <w:szCs w:val="28"/>
        </w:rPr>
        <w:br/>
      </w:r>
      <w:r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3 761 (4,7%)  </w:t>
      </w:r>
      <w:r w:rsidRPr="003A6B6C">
        <w:rPr>
          <w:rFonts w:ascii="Times New Roman" w:hAnsi="Times New Roman" w:cs="Times New Roman"/>
          <w:sz w:val="28"/>
          <w:szCs w:val="28"/>
        </w:rPr>
        <w:t xml:space="preserve">документа со статусом «контроль не пройден», в остальных </w:t>
      </w:r>
      <w:r w:rsidRPr="003A6B6C">
        <w:rPr>
          <w:rFonts w:ascii="Times New Roman" w:hAnsi="Times New Roman" w:cs="Times New Roman"/>
          <w:b/>
          <w:i/>
          <w:sz w:val="28"/>
          <w:szCs w:val="28"/>
        </w:rPr>
        <w:t>76 449</w:t>
      </w:r>
      <w:r w:rsidRPr="003A6B6C">
        <w:rPr>
          <w:rFonts w:ascii="Times New Roman" w:hAnsi="Times New Roman" w:cs="Times New Roman"/>
          <w:sz w:val="28"/>
          <w:szCs w:val="28"/>
        </w:rPr>
        <w:t xml:space="preserve"> </w:t>
      </w:r>
      <w:r w:rsidRPr="003A6B6C">
        <w:rPr>
          <w:rFonts w:ascii="Times New Roman" w:hAnsi="Times New Roman" w:cs="Times New Roman"/>
          <w:b/>
          <w:i/>
          <w:sz w:val="28"/>
          <w:szCs w:val="28"/>
        </w:rPr>
        <w:t>(95,3%)</w:t>
      </w:r>
      <w:r w:rsidRPr="003A6B6C">
        <w:rPr>
          <w:rFonts w:ascii="Times New Roman" w:hAnsi="Times New Roman" w:cs="Times New Roman"/>
          <w:sz w:val="28"/>
          <w:szCs w:val="28"/>
        </w:rPr>
        <w:t xml:space="preserve"> – «контроль пройден».</w:t>
      </w:r>
    </w:p>
    <w:p w:rsidR="00DD7742" w:rsidRDefault="00DD7742" w:rsidP="00C04245">
      <w:pPr>
        <w:widowControl/>
        <w:autoSpaceDE/>
        <w:autoSpaceDN/>
        <w:adjustRightInd/>
        <w:spacing w:line="312" w:lineRule="auto"/>
        <w:ind w:firstLine="539"/>
        <w:jc w:val="center"/>
        <w:rPr>
          <w:rFonts w:ascii="Times New Roman" w:hAnsi="Times New Roman" w:cs="Times New Roman"/>
          <w:i/>
        </w:rPr>
      </w:pPr>
    </w:p>
    <w:p w:rsidR="00DD7742" w:rsidRDefault="00DD7742" w:rsidP="00C04245">
      <w:pPr>
        <w:widowControl/>
        <w:autoSpaceDE/>
        <w:autoSpaceDN/>
        <w:adjustRightInd/>
        <w:spacing w:line="312" w:lineRule="auto"/>
        <w:ind w:firstLine="539"/>
        <w:jc w:val="center"/>
        <w:rPr>
          <w:rFonts w:ascii="Times New Roman" w:hAnsi="Times New Roman" w:cs="Times New Roman"/>
          <w:i/>
        </w:rPr>
      </w:pPr>
    </w:p>
    <w:p w:rsidR="00DD7742" w:rsidRDefault="00DD7742" w:rsidP="00C04245">
      <w:pPr>
        <w:widowControl/>
        <w:autoSpaceDE/>
        <w:autoSpaceDN/>
        <w:adjustRightInd/>
        <w:spacing w:line="312" w:lineRule="auto"/>
        <w:ind w:firstLine="539"/>
        <w:jc w:val="center"/>
        <w:rPr>
          <w:rFonts w:ascii="Times New Roman" w:hAnsi="Times New Roman" w:cs="Times New Roman"/>
          <w:i/>
        </w:rPr>
      </w:pPr>
    </w:p>
    <w:p w:rsidR="009C64DD" w:rsidRPr="003A6B6C" w:rsidRDefault="009C64DD" w:rsidP="00C04245">
      <w:pPr>
        <w:widowControl/>
        <w:autoSpaceDE/>
        <w:autoSpaceDN/>
        <w:adjustRightInd/>
        <w:spacing w:line="312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i/>
        </w:rPr>
        <w:t xml:space="preserve">Информация об осуществлении контроля в соответствии с ч. 5, ч. 6 ст. 99 </w:t>
      </w:r>
      <w:r w:rsidR="00C04245">
        <w:rPr>
          <w:rFonts w:ascii="Times New Roman" w:hAnsi="Times New Roman" w:cs="Times New Roman"/>
          <w:i/>
        </w:rPr>
        <w:br/>
      </w:r>
      <w:r w:rsidR="00C04245" w:rsidRPr="00C04245">
        <w:rPr>
          <w:rFonts w:ascii="Times New Roman" w:hAnsi="Times New Roman" w:cs="Times New Roman"/>
          <w:i/>
        </w:rPr>
        <w:t>Закон</w:t>
      </w:r>
      <w:r w:rsidR="00C04245">
        <w:rPr>
          <w:rFonts w:ascii="Times New Roman" w:hAnsi="Times New Roman" w:cs="Times New Roman"/>
          <w:i/>
        </w:rPr>
        <w:t>а</w:t>
      </w:r>
      <w:r w:rsidR="00C04245" w:rsidRPr="00C04245">
        <w:rPr>
          <w:rFonts w:ascii="Times New Roman" w:hAnsi="Times New Roman" w:cs="Times New Roman"/>
          <w:i/>
        </w:rPr>
        <w:t xml:space="preserve"> о контрактной системе</w:t>
      </w:r>
      <w:r w:rsidRPr="003A6B6C">
        <w:rPr>
          <w:rFonts w:ascii="Times New Roman" w:hAnsi="Times New Roman" w:cs="Times New Roman"/>
          <w:i/>
        </w:rPr>
        <w:t xml:space="preserve"> за 1 полугодие 2018 года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90"/>
        <w:gridCol w:w="1906"/>
        <w:gridCol w:w="1904"/>
        <w:gridCol w:w="1904"/>
      </w:tblGrid>
      <w:tr w:rsidR="009C64DD" w:rsidRPr="003A6B6C" w:rsidTr="00805BE6">
        <w:trPr>
          <w:trHeight w:val="350"/>
        </w:trPr>
        <w:tc>
          <w:tcPr>
            <w:tcW w:w="3936" w:type="dxa"/>
            <w:vMerge w:val="restart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Объекты контроля</w:t>
            </w:r>
          </w:p>
        </w:tc>
        <w:tc>
          <w:tcPr>
            <w:tcW w:w="1914" w:type="dxa"/>
            <w:vMerge w:val="restart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Проверено, всего</w:t>
            </w:r>
          </w:p>
        </w:tc>
        <w:tc>
          <w:tcPr>
            <w:tcW w:w="3828" w:type="dxa"/>
            <w:gridSpan w:val="2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9C64DD" w:rsidRPr="003A6B6C" w:rsidTr="00805BE6">
        <w:trPr>
          <w:trHeight w:val="555"/>
        </w:trPr>
        <w:tc>
          <w:tcPr>
            <w:tcW w:w="3936" w:type="dxa"/>
            <w:vMerge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«контроль не пройден»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«контроль пройден»</w:t>
            </w:r>
          </w:p>
        </w:tc>
      </w:tr>
      <w:tr w:rsidR="009C64DD" w:rsidRPr="003A6B6C" w:rsidTr="00805BE6">
        <w:trPr>
          <w:trHeight w:val="555"/>
        </w:trPr>
        <w:tc>
          <w:tcPr>
            <w:tcW w:w="3936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 xml:space="preserve">80210 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3761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76449</w:t>
            </w:r>
          </w:p>
        </w:tc>
      </w:tr>
      <w:tr w:rsidR="009C64DD" w:rsidRPr="003A6B6C" w:rsidTr="00805BE6">
        <w:tc>
          <w:tcPr>
            <w:tcW w:w="3936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 xml:space="preserve">планов закупок                                         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5489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5188</w:t>
            </w:r>
          </w:p>
        </w:tc>
      </w:tr>
      <w:tr w:rsidR="009C64DD" w:rsidRPr="003A6B6C" w:rsidTr="00805BE6">
        <w:tc>
          <w:tcPr>
            <w:tcW w:w="3936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планов-графиков закупок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7889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7695</w:t>
            </w:r>
          </w:p>
        </w:tc>
      </w:tr>
      <w:tr w:rsidR="009C64DD" w:rsidRPr="003A6B6C" w:rsidTr="00805BE6">
        <w:tc>
          <w:tcPr>
            <w:tcW w:w="3936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извещений и документации о закупках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21970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21813</w:t>
            </w:r>
          </w:p>
        </w:tc>
      </w:tr>
      <w:tr w:rsidR="009C64DD" w:rsidRPr="003A6B6C" w:rsidTr="00805BE6">
        <w:tc>
          <w:tcPr>
            <w:tcW w:w="3936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протоколов определения поставщика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15913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15878</w:t>
            </w:r>
          </w:p>
        </w:tc>
      </w:tr>
      <w:tr w:rsidR="009C64DD" w:rsidRPr="003A6B6C" w:rsidTr="00805BE6">
        <w:trPr>
          <w:trHeight w:val="297"/>
        </w:trPr>
        <w:tc>
          <w:tcPr>
            <w:tcW w:w="3936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информации о контрактах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28949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3074</w:t>
            </w:r>
          </w:p>
        </w:tc>
        <w:tc>
          <w:tcPr>
            <w:tcW w:w="1914" w:type="dxa"/>
          </w:tcPr>
          <w:p w:rsidR="009C64DD" w:rsidRPr="003A6B6C" w:rsidRDefault="009C64DD" w:rsidP="009C64DD">
            <w:pPr>
              <w:widowControl/>
              <w:autoSpaceDE/>
              <w:autoSpaceDN/>
              <w:adjustRightInd/>
              <w:spacing w:line="312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3A6B6C">
              <w:rPr>
                <w:rFonts w:ascii="Times New Roman" w:hAnsi="Times New Roman" w:cs="Times New Roman"/>
                <w:sz w:val="28"/>
                <w:szCs w:val="28"/>
              </w:rPr>
              <w:t>25875</w:t>
            </w:r>
          </w:p>
        </w:tc>
      </w:tr>
    </w:tbl>
    <w:p w:rsidR="00DD7742" w:rsidRDefault="00DD7742" w:rsidP="00591694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DD7742" w:rsidRDefault="00DD7742" w:rsidP="00591694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591694" w:rsidRPr="003A6B6C" w:rsidRDefault="00591694" w:rsidP="00591694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3A6B6C">
        <w:rPr>
          <w:rFonts w:ascii="Times New Roman" w:hAnsi="Times New Roman" w:cs="Times New Roman"/>
          <w:b/>
          <w:i/>
          <w:sz w:val="28"/>
          <w:szCs w:val="28"/>
        </w:rPr>
        <w:t>Раздел 11. Предложения по совершенствованию законодательства Свердловской области о контрактной системе в сфере закупок</w:t>
      </w:r>
    </w:p>
    <w:p w:rsidR="00591694" w:rsidRPr="003A6B6C" w:rsidRDefault="00591694" w:rsidP="00591694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591694" w:rsidRPr="003A6B6C" w:rsidRDefault="00591694" w:rsidP="00591694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3A6B6C">
        <w:rPr>
          <w:rFonts w:ascii="Times New Roman" w:hAnsi="Times New Roman" w:cs="Times New Roman"/>
          <w:bCs/>
          <w:iCs/>
          <w:sz w:val="28"/>
          <w:szCs w:val="28"/>
        </w:rPr>
        <w:t>Основной проблемой реализации контрактной системы в сфере закупок на всех уровнях является нестабильность законодательства, большое количество подзаконных нормативных правовых актов, в том числе, отсутствие единого подхода к толкованию норм законодательства о контрактной системе со стороны контрольных органов, заказчиков и других участников контрактной системы.</w:t>
      </w:r>
    </w:p>
    <w:p w:rsidR="00591694" w:rsidRPr="003A6B6C" w:rsidRDefault="00F27A7D" w:rsidP="00F27A7D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целях </w:t>
      </w:r>
      <w:r w:rsidRPr="00F27A7D">
        <w:rPr>
          <w:rFonts w:ascii="Times New Roman" w:hAnsi="Times New Roman" w:cs="Times New Roman"/>
          <w:bCs/>
          <w:iCs/>
          <w:sz w:val="28"/>
          <w:szCs w:val="28"/>
        </w:rPr>
        <w:t>сов</w:t>
      </w:r>
      <w:r>
        <w:rPr>
          <w:rFonts w:ascii="Times New Roman" w:hAnsi="Times New Roman" w:cs="Times New Roman"/>
          <w:bCs/>
          <w:iCs/>
          <w:sz w:val="28"/>
          <w:szCs w:val="28"/>
        </w:rPr>
        <w:t>ершенствования законодательства</w:t>
      </w:r>
      <w:r w:rsidRPr="00F27A7D">
        <w:rPr>
          <w:rFonts w:ascii="Times New Roman" w:hAnsi="Times New Roman" w:cs="Times New Roman"/>
          <w:bCs/>
          <w:iCs/>
          <w:sz w:val="28"/>
          <w:szCs w:val="28"/>
        </w:rPr>
        <w:t xml:space="preserve"> в сфере закупок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повышения эффективности государственных закупок в Свердловской области необходимо</w:t>
      </w:r>
      <w:r w:rsidR="00591694" w:rsidRPr="003A6B6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91694" w:rsidRPr="003A6B6C" w:rsidRDefault="00591694" w:rsidP="00591694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3A6B6C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proofErr w:type="gramStart"/>
      <w:r w:rsidRPr="003A6B6C">
        <w:rPr>
          <w:rFonts w:ascii="Times New Roman" w:hAnsi="Times New Roman" w:cs="Times New Roman"/>
          <w:bCs/>
          <w:iCs/>
          <w:sz w:val="28"/>
          <w:szCs w:val="28"/>
        </w:rPr>
        <w:t>В целях анализа закупочной деятельности муниципальных заказчиков Свердловской области внести изменения в действующее постановление Правительства Свердловской области от 14.03.2017 № 148-ПП</w:t>
      </w:r>
      <w:r w:rsidRPr="003A6B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A6B6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3A6B6C">
        <w:rPr>
          <w:rFonts w:ascii="Times New Roman" w:hAnsi="Times New Roman" w:cs="Times New Roman"/>
          <w:bCs/>
          <w:iCs/>
          <w:sz w:val="28"/>
          <w:szCs w:val="28"/>
        </w:rPr>
        <w:t>«О мониторинге закупок товаров, работ, услуг для обеспечения государственных нужд Свердловской области» в части сбора и получения необходимой для осуществления мониторинга закупок товаров, работ, услуг аналитической информации по закупкам для муниципальных нужд по выполнению рекомендованного плана мероприятий «Повышение эффективности системы</w:t>
      </w:r>
      <w:proofErr w:type="gramEnd"/>
      <w:r w:rsidRPr="003A6B6C">
        <w:rPr>
          <w:rFonts w:ascii="Times New Roman" w:hAnsi="Times New Roman" w:cs="Times New Roman"/>
          <w:bCs/>
          <w:iCs/>
          <w:sz w:val="28"/>
          <w:szCs w:val="28"/>
        </w:rPr>
        <w:t xml:space="preserve"> закупок товаров (работ, услуг) для муниципальных нужд».</w:t>
      </w:r>
    </w:p>
    <w:p w:rsidR="00591694" w:rsidRPr="003A6B6C" w:rsidRDefault="00591694" w:rsidP="00591694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3A6B6C">
        <w:rPr>
          <w:rFonts w:ascii="Times New Roman" w:hAnsi="Times New Roman" w:cs="Times New Roman"/>
          <w:bCs/>
          <w:iCs/>
          <w:sz w:val="28"/>
          <w:szCs w:val="28"/>
        </w:rPr>
        <w:t>2. Разработать и принять нормативный акт Правительства Свердловской области, устанавливающий перечень товаров, работ, услуг, закупки по которым осуществляются путем проведения совместных конкурсов, аукционов.</w:t>
      </w:r>
    </w:p>
    <w:p w:rsidR="00591694" w:rsidRPr="003A6B6C" w:rsidRDefault="00591694" w:rsidP="00591694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3A6B6C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proofErr w:type="gramStart"/>
      <w:r w:rsidRPr="003A6B6C">
        <w:rPr>
          <w:rFonts w:ascii="Times New Roman" w:hAnsi="Times New Roman" w:cs="Times New Roman"/>
          <w:bCs/>
          <w:iCs/>
          <w:sz w:val="28"/>
          <w:szCs w:val="28"/>
        </w:rPr>
        <w:t xml:space="preserve">Внести изменения в постановление Правительства Свердловской области от 27.12.2013 № 1665-ПП «О наделении полномочиями на определение поставщиков (подрядчиков, исполнителей) Департамента государственных закупок Свердловской области и утверждении порядка </w:t>
      </w:r>
      <w:r w:rsidRPr="003A6B6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взаимодействия Департамента государственных закупок Свердловской области и заказчиков Свердловской области в сфере закупок товаров, работ, услуг для нужд Свердловской области» в части определения порядка взаимодействия Департамента государственных закупок Свердловской области и государственных заказчиков Свердловской</w:t>
      </w:r>
      <w:proofErr w:type="gramEnd"/>
      <w:r w:rsidRPr="003A6B6C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 при проведении процедуры предварительного отбора.</w:t>
      </w:r>
    </w:p>
    <w:p w:rsidR="00591694" w:rsidRPr="003A6B6C" w:rsidRDefault="00F27A7D" w:rsidP="00591694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591694" w:rsidRPr="003A6B6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591694" w:rsidRPr="003A6B6C">
        <w:rPr>
          <w:rFonts w:ascii="Times New Roman" w:hAnsi="Times New Roman" w:cs="Times New Roman"/>
          <w:bCs/>
          <w:iCs/>
          <w:sz w:val="28"/>
          <w:szCs w:val="28"/>
        </w:rPr>
        <w:t xml:space="preserve">В целях экономии расходования средств бюджета Свердловской области при закупке товаров, работ, услуг для нужд Свердловской области внести изменения в Распоряжение Правительства Свердловской области </w:t>
      </w:r>
      <w:r w:rsidR="00591694" w:rsidRPr="003A6B6C">
        <w:rPr>
          <w:rFonts w:ascii="Times New Roman" w:hAnsi="Times New Roman" w:cs="Times New Roman"/>
          <w:bCs/>
          <w:iCs/>
          <w:sz w:val="28"/>
          <w:szCs w:val="28"/>
        </w:rPr>
        <w:br/>
        <w:t>№ 344-РП от 06.04.2015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для обеспечения нужд Свердловской области», в части определения НМЦК.</w:t>
      </w:r>
      <w:proofErr w:type="gramEnd"/>
      <w:r w:rsidR="00591694" w:rsidRPr="003A6B6C">
        <w:rPr>
          <w:rFonts w:ascii="Times New Roman" w:hAnsi="Times New Roman" w:cs="Times New Roman"/>
          <w:bCs/>
          <w:iCs/>
          <w:sz w:val="28"/>
          <w:szCs w:val="28"/>
        </w:rPr>
        <w:t xml:space="preserve"> Предусмотреть возможность определения НМЦК с учетом минимального значения цены.</w:t>
      </w:r>
    </w:p>
    <w:p w:rsidR="00591694" w:rsidRPr="003A6B6C" w:rsidRDefault="00F27A7D" w:rsidP="00591694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591694" w:rsidRPr="003A6B6C">
        <w:rPr>
          <w:rFonts w:ascii="Times New Roman" w:hAnsi="Times New Roman" w:cs="Times New Roman"/>
          <w:bCs/>
          <w:iCs/>
          <w:sz w:val="28"/>
          <w:szCs w:val="28"/>
        </w:rPr>
        <w:t xml:space="preserve">. Разработать и принять </w:t>
      </w:r>
      <w:r>
        <w:rPr>
          <w:rFonts w:ascii="Times New Roman" w:hAnsi="Times New Roman" w:cs="Times New Roman"/>
          <w:bCs/>
          <w:iCs/>
          <w:sz w:val="28"/>
          <w:szCs w:val="28"/>
        </w:rPr>
        <w:t>правовой</w:t>
      </w:r>
      <w:r w:rsidR="00591694" w:rsidRPr="003A6B6C">
        <w:rPr>
          <w:rFonts w:ascii="Times New Roman" w:hAnsi="Times New Roman" w:cs="Times New Roman"/>
          <w:bCs/>
          <w:iCs/>
          <w:sz w:val="28"/>
          <w:szCs w:val="28"/>
        </w:rPr>
        <w:t xml:space="preserve"> акт Свердловской области, определяющий порядок учета и использования бюджетных средств, полученных в виде экономии по итогам осуществления закупок товаров, работ, услуг для обеспечения государственных нужд Свердловской области.</w:t>
      </w:r>
    </w:p>
    <w:p w:rsidR="00DD7742" w:rsidRPr="003A6B6C" w:rsidRDefault="00DD7742" w:rsidP="00613955">
      <w:pPr>
        <w:tabs>
          <w:tab w:val="left" w:pos="567"/>
          <w:tab w:val="left" w:pos="1134"/>
        </w:tabs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56B1" w:rsidRPr="003A6B6C" w:rsidRDefault="000F56B1" w:rsidP="00613955">
      <w:pPr>
        <w:tabs>
          <w:tab w:val="left" w:pos="567"/>
          <w:tab w:val="left" w:pos="1134"/>
        </w:tabs>
        <w:spacing w:line="312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6C13A1" w:rsidRPr="003A6B6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52D72" w:rsidRPr="003A6B6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C12BB"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 Основные результаты, проведенного мониторинга закупок товаров, работ, услуг для обеспечения государственных нужд Свердловской области</w:t>
      </w:r>
      <w:r w:rsidR="0027226B"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9F13D6"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первое полугодие </w:t>
      </w:r>
      <w:r w:rsidRPr="003A6B6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9F13D6" w:rsidRPr="003A6B6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9F13D6" w:rsidRPr="003A6B6C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0F56B1" w:rsidRPr="003A6B6C" w:rsidRDefault="000F56B1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b/>
          <w:i/>
          <w:sz w:val="28"/>
          <w:szCs w:val="28"/>
        </w:rPr>
      </w:pPr>
      <w:r w:rsidRPr="003A6B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5428" w:rsidRPr="003A6B6C" w:rsidRDefault="00525428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>Мониторинг закупок товаров, работ, услуг показал следующие результаты</w:t>
      </w:r>
      <w:r w:rsidR="00C62D3D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C62D3D" w:rsidRPr="00C62D3D">
        <w:rPr>
          <w:rFonts w:ascii="Times New Roman" w:hAnsi="Times New Roman" w:cs="Times New Roman"/>
          <w:sz w:val="28"/>
          <w:szCs w:val="28"/>
        </w:rPr>
        <w:t>перв</w:t>
      </w:r>
      <w:r w:rsidR="00C62D3D">
        <w:rPr>
          <w:rFonts w:ascii="Times New Roman" w:hAnsi="Times New Roman" w:cs="Times New Roman"/>
          <w:sz w:val="28"/>
          <w:szCs w:val="28"/>
        </w:rPr>
        <w:t>ого</w:t>
      </w:r>
      <w:r w:rsidR="00C62D3D" w:rsidRPr="00C62D3D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C62D3D">
        <w:rPr>
          <w:rFonts w:ascii="Times New Roman" w:hAnsi="Times New Roman" w:cs="Times New Roman"/>
          <w:sz w:val="28"/>
          <w:szCs w:val="28"/>
        </w:rPr>
        <w:t>я</w:t>
      </w:r>
      <w:r w:rsidR="00C62D3D" w:rsidRPr="00C62D3D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3A6B6C">
        <w:rPr>
          <w:rFonts w:ascii="Times New Roman" w:hAnsi="Times New Roman" w:cs="Times New Roman"/>
          <w:sz w:val="28"/>
          <w:szCs w:val="28"/>
        </w:rPr>
        <w:t>:</w:t>
      </w:r>
    </w:p>
    <w:p w:rsidR="00525428" w:rsidRPr="003A6B6C" w:rsidRDefault="00C62D3D" w:rsidP="00420367">
      <w:pPr>
        <w:pStyle w:val="a3"/>
        <w:numPr>
          <w:ilvl w:val="0"/>
          <w:numId w:val="11"/>
        </w:numPr>
        <w:tabs>
          <w:tab w:val="left" w:pos="1134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25428" w:rsidRPr="003A6B6C">
        <w:rPr>
          <w:sz w:val="28"/>
          <w:szCs w:val="28"/>
        </w:rPr>
        <w:t xml:space="preserve">словное исполнение плана – графика составляет </w:t>
      </w:r>
      <w:r w:rsidR="0007090D" w:rsidRPr="003A6B6C">
        <w:rPr>
          <w:b/>
          <w:i/>
          <w:sz w:val="28"/>
          <w:szCs w:val="28"/>
        </w:rPr>
        <w:t>99</w:t>
      </w:r>
      <w:r w:rsidR="00525428" w:rsidRPr="003A6B6C">
        <w:rPr>
          <w:b/>
          <w:i/>
          <w:sz w:val="28"/>
          <w:szCs w:val="28"/>
        </w:rPr>
        <w:t>%</w:t>
      </w:r>
      <w:r w:rsidR="00525428" w:rsidRPr="003A6B6C">
        <w:rPr>
          <w:sz w:val="28"/>
          <w:szCs w:val="28"/>
        </w:rPr>
        <w:t xml:space="preserve"> от </w:t>
      </w:r>
      <w:r w:rsidR="001958CC" w:rsidRPr="003A6B6C">
        <w:rPr>
          <w:sz w:val="28"/>
          <w:szCs w:val="28"/>
        </w:rPr>
        <w:t xml:space="preserve">общего объема </w:t>
      </w:r>
      <w:r w:rsidR="00525428" w:rsidRPr="003A6B6C">
        <w:rPr>
          <w:sz w:val="28"/>
          <w:szCs w:val="28"/>
        </w:rPr>
        <w:t>запланированных закупок товаров, работ, услуг.</w:t>
      </w:r>
    </w:p>
    <w:p w:rsidR="00525428" w:rsidRPr="003A6B6C" w:rsidRDefault="00C62D3D" w:rsidP="00A4278D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spacing w:line="312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5428" w:rsidRPr="003A6B6C">
        <w:rPr>
          <w:sz w:val="28"/>
          <w:szCs w:val="28"/>
        </w:rPr>
        <w:t xml:space="preserve">реобладающим способом определения поставщиков (подрядчиков, исполнителей) при осуществлении закупок является электронный аукцион. Доля </w:t>
      </w:r>
      <w:r w:rsidR="001958CC" w:rsidRPr="003A6B6C">
        <w:rPr>
          <w:sz w:val="28"/>
          <w:szCs w:val="28"/>
        </w:rPr>
        <w:t xml:space="preserve">извещений со способом определения </w:t>
      </w:r>
      <w:r w:rsidR="00F36485" w:rsidRPr="003A6B6C">
        <w:rPr>
          <w:sz w:val="28"/>
          <w:szCs w:val="28"/>
        </w:rPr>
        <w:t>поставщика</w:t>
      </w:r>
      <w:r w:rsidR="001958CC" w:rsidRPr="003A6B6C">
        <w:rPr>
          <w:sz w:val="28"/>
          <w:szCs w:val="28"/>
        </w:rPr>
        <w:t xml:space="preserve"> (</w:t>
      </w:r>
      <w:r w:rsidR="00F36485" w:rsidRPr="003A6B6C">
        <w:rPr>
          <w:sz w:val="28"/>
          <w:szCs w:val="28"/>
        </w:rPr>
        <w:t>подрядчика</w:t>
      </w:r>
      <w:r w:rsidR="009D22AE" w:rsidRPr="003A6B6C">
        <w:rPr>
          <w:sz w:val="28"/>
          <w:szCs w:val="28"/>
        </w:rPr>
        <w:t xml:space="preserve">, исполнителя) </w:t>
      </w:r>
      <w:r w:rsidR="001958CC" w:rsidRPr="003A6B6C">
        <w:rPr>
          <w:sz w:val="28"/>
          <w:szCs w:val="28"/>
        </w:rPr>
        <w:t>«</w:t>
      </w:r>
      <w:r w:rsidR="00525428" w:rsidRPr="003A6B6C">
        <w:rPr>
          <w:sz w:val="28"/>
          <w:szCs w:val="28"/>
        </w:rPr>
        <w:t>электронны</w:t>
      </w:r>
      <w:r w:rsidR="001958CC" w:rsidRPr="003A6B6C">
        <w:rPr>
          <w:sz w:val="28"/>
          <w:szCs w:val="28"/>
        </w:rPr>
        <w:t>й</w:t>
      </w:r>
      <w:r w:rsidR="00525428" w:rsidRPr="003A6B6C">
        <w:rPr>
          <w:sz w:val="28"/>
          <w:szCs w:val="28"/>
        </w:rPr>
        <w:t xml:space="preserve"> аукцион</w:t>
      </w:r>
      <w:r w:rsidR="001958CC" w:rsidRPr="003A6B6C">
        <w:rPr>
          <w:sz w:val="28"/>
          <w:szCs w:val="28"/>
        </w:rPr>
        <w:t>»</w:t>
      </w:r>
      <w:r w:rsidR="00525428" w:rsidRPr="003A6B6C">
        <w:rPr>
          <w:sz w:val="28"/>
          <w:szCs w:val="28"/>
        </w:rPr>
        <w:t xml:space="preserve"> составляет</w:t>
      </w:r>
      <w:r w:rsidR="00C13982" w:rsidRPr="003A6B6C">
        <w:rPr>
          <w:sz w:val="28"/>
          <w:szCs w:val="28"/>
        </w:rPr>
        <w:t xml:space="preserve"> более </w:t>
      </w:r>
      <w:r w:rsidR="00525428" w:rsidRPr="003A6B6C">
        <w:rPr>
          <w:sz w:val="28"/>
          <w:szCs w:val="28"/>
        </w:rPr>
        <w:t xml:space="preserve"> </w:t>
      </w:r>
      <w:r w:rsidR="00C13982" w:rsidRPr="003A6B6C">
        <w:rPr>
          <w:b/>
          <w:i/>
          <w:sz w:val="28"/>
          <w:szCs w:val="28"/>
        </w:rPr>
        <w:t>7</w:t>
      </w:r>
      <w:r w:rsidR="0007090D" w:rsidRPr="003A6B6C">
        <w:rPr>
          <w:b/>
          <w:i/>
          <w:sz w:val="28"/>
          <w:szCs w:val="28"/>
        </w:rPr>
        <w:t>5</w:t>
      </w:r>
      <w:r w:rsidR="00525428" w:rsidRPr="003A6B6C">
        <w:rPr>
          <w:b/>
          <w:i/>
          <w:sz w:val="28"/>
          <w:szCs w:val="28"/>
        </w:rPr>
        <w:t xml:space="preserve">% </w:t>
      </w:r>
      <w:r w:rsidR="00525428" w:rsidRPr="003A6B6C">
        <w:rPr>
          <w:sz w:val="28"/>
          <w:szCs w:val="28"/>
        </w:rPr>
        <w:t xml:space="preserve">от общего количества </w:t>
      </w:r>
      <w:r w:rsidR="00DD7742">
        <w:rPr>
          <w:sz w:val="28"/>
          <w:szCs w:val="28"/>
        </w:rPr>
        <w:t>опубликованных</w:t>
      </w:r>
      <w:r w:rsidR="001958CC" w:rsidRPr="003A6B6C">
        <w:rPr>
          <w:sz w:val="28"/>
          <w:szCs w:val="28"/>
        </w:rPr>
        <w:t xml:space="preserve"> извещений </w:t>
      </w:r>
      <w:r w:rsidR="00525428" w:rsidRPr="003A6B6C">
        <w:rPr>
          <w:sz w:val="28"/>
          <w:szCs w:val="28"/>
        </w:rPr>
        <w:t xml:space="preserve"> в </w:t>
      </w:r>
      <w:r w:rsidR="00C13982" w:rsidRPr="003A6B6C">
        <w:rPr>
          <w:sz w:val="28"/>
          <w:szCs w:val="28"/>
        </w:rPr>
        <w:t>ЕИС.</w:t>
      </w:r>
    </w:p>
    <w:p w:rsidR="00C13982" w:rsidRPr="003A6B6C" w:rsidRDefault="00C62D3D" w:rsidP="00A4278D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spacing w:line="312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C13982" w:rsidRPr="003A6B6C">
        <w:rPr>
          <w:sz w:val="28"/>
          <w:szCs w:val="28"/>
        </w:rPr>
        <w:t xml:space="preserve">кономия по результатам завершенных в </w:t>
      </w:r>
      <w:r w:rsidR="0007090D" w:rsidRPr="003A6B6C">
        <w:rPr>
          <w:sz w:val="28"/>
          <w:szCs w:val="28"/>
        </w:rPr>
        <w:t>первом</w:t>
      </w:r>
      <w:r w:rsidR="007E353B" w:rsidRPr="003A6B6C">
        <w:rPr>
          <w:sz w:val="28"/>
          <w:szCs w:val="28"/>
        </w:rPr>
        <w:t xml:space="preserve"> полугодии </w:t>
      </w:r>
      <w:r w:rsidR="00C13982" w:rsidRPr="003A6B6C">
        <w:rPr>
          <w:sz w:val="28"/>
          <w:szCs w:val="28"/>
        </w:rPr>
        <w:t>201</w:t>
      </w:r>
      <w:r w:rsidR="007E353B" w:rsidRPr="003A6B6C">
        <w:rPr>
          <w:sz w:val="28"/>
          <w:szCs w:val="28"/>
        </w:rPr>
        <w:t>8</w:t>
      </w:r>
      <w:r w:rsidR="00C13982" w:rsidRPr="003A6B6C">
        <w:rPr>
          <w:sz w:val="28"/>
          <w:szCs w:val="28"/>
        </w:rPr>
        <w:t xml:space="preserve"> год</w:t>
      </w:r>
      <w:r w:rsidR="007E353B" w:rsidRPr="003A6B6C">
        <w:rPr>
          <w:sz w:val="28"/>
          <w:szCs w:val="28"/>
        </w:rPr>
        <w:t>а</w:t>
      </w:r>
      <w:r w:rsidR="00C13982" w:rsidRPr="003A6B6C">
        <w:rPr>
          <w:sz w:val="28"/>
          <w:szCs w:val="28"/>
        </w:rPr>
        <w:t xml:space="preserve"> процедур, опубликованных на официальном сайте ЕИС, которые привели </w:t>
      </w:r>
      <w:r w:rsidR="00C13982" w:rsidRPr="003A6B6C">
        <w:rPr>
          <w:sz w:val="28"/>
          <w:szCs w:val="28"/>
        </w:rPr>
        <w:lastRenderedPageBreak/>
        <w:t xml:space="preserve">к заключению контракта, составила </w:t>
      </w:r>
      <w:r w:rsidR="0007090D" w:rsidRPr="003A6B6C">
        <w:rPr>
          <w:b/>
          <w:i/>
          <w:sz w:val="28"/>
          <w:szCs w:val="28"/>
        </w:rPr>
        <w:t>1 160,43</w:t>
      </w:r>
      <w:r w:rsidR="00C13982" w:rsidRPr="003A6B6C">
        <w:rPr>
          <w:sz w:val="28"/>
          <w:szCs w:val="28"/>
        </w:rPr>
        <w:t xml:space="preserve"> млн. рублей (</w:t>
      </w:r>
      <w:r w:rsidR="00C13982" w:rsidRPr="003A6B6C">
        <w:rPr>
          <w:i/>
          <w:sz w:val="28"/>
          <w:szCs w:val="28"/>
        </w:rPr>
        <w:t xml:space="preserve">более </w:t>
      </w:r>
      <w:r w:rsidR="0007090D" w:rsidRPr="003A6B6C">
        <w:rPr>
          <w:i/>
          <w:sz w:val="28"/>
          <w:szCs w:val="28"/>
        </w:rPr>
        <w:t>8</w:t>
      </w:r>
      <w:r w:rsidR="00C13982" w:rsidRPr="003A6B6C">
        <w:rPr>
          <w:i/>
          <w:sz w:val="28"/>
          <w:szCs w:val="28"/>
        </w:rPr>
        <w:t>% от общего объема процедур, которые привели к заключению контракта</w:t>
      </w:r>
      <w:r w:rsidR="00C13982" w:rsidRPr="003A6B6C">
        <w:rPr>
          <w:sz w:val="28"/>
          <w:szCs w:val="28"/>
        </w:rPr>
        <w:t>).</w:t>
      </w:r>
    </w:p>
    <w:p w:rsidR="00525428" w:rsidRPr="003A6B6C" w:rsidRDefault="00525428" w:rsidP="00A4278D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 xml:space="preserve">3) </w:t>
      </w:r>
      <w:r w:rsidR="00C62D3D">
        <w:rPr>
          <w:rFonts w:ascii="Times New Roman" w:hAnsi="Times New Roman" w:cs="Times New Roman"/>
          <w:sz w:val="28"/>
          <w:szCs w:val="28"/>
        </w:rPr>
        <w:t>д</w:t>
      </w:r>
      <w:r w:rsidRPr="003A6B6C">
        <w:rPr>
          <w:rFonts w:ascii="Times New Roman" w:hAnsi="Times New Roman" w:cs="Times New Roman"/>
          <w:sz w:val="28"/>
          <w:szCs w:val="28"/>
        </w:rPr>
        <w:t xml:space="preserve">оля заключенных контрактов составила </w:t>
      </w:r>
      <w:r w:rsidR="0012409F" w:rsidRPr="003A6B6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E259C5" w:rsidRPr="003A6B6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A6B6C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3A6B6C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r w:rsidR="001958CC" w:rsidRPr="003A6B6C">
        <w:rPr>
          <w:rFonts w:ascii="Times New Roman" w:hAnsi="Times New Roman" w:cs="Times New Roman"/>
          <w:sz w:val="28"/>
          <w:szCs w:val="28"/>
        </w:rPr>
        <w:t xml:space="preserve">осуществленных </w:t>
      </w:r>
      <w:r w:rsidRPr="003A6B6C">
        <w:rPr>
          <w:rFonts w:ascii="Times New Roman" w:hAnsi="Times New Roman" w:cs="Times New Roman"/>
          <w:sz w:val="28"/>
          <w:szCs w:val="28"/>
        </w:rPr>
        <w:t>закупок, включая контракты которые были заключены с единственным участником процедур.</w:t>
      </w:r>
    </w:p>
    <w:p w:rsidR="00525428" w:rsidRPr="003A6B6C" w:rsidRDefault="00944B83" w:rsidP="00A4278D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 xml:space="preserve">4) </w:t>
      </w:r>
      <w:r w:rsidR="00C62D3D">
        <w:rPr>
          <w:rFonts w:ascii="Times New Roman" w:hAnsi="Times New Roman" w:cs="Times New Roman"/>
          <w:sz w:val="28"/>
          <w:szCs w:val="28"/>
        </w:rPr>
        <w:t>с</w:t>
      </w:r>
      <w:r w:rsidRPr="003A6B6C"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proofErr w:type="spellStart"/>
      <w:r w:rsidRPr="003A6B6C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="00525428" w:rsidRPr="003A6B6C">
        <w:rPr>
          <w:rFonts w:ascii="Times New Roman" w:hAnsi="Times New Roman" w:cs="Times New Roman"/>
          <w:sz w:val="28"/>
          <w:szCs w:val="28"/>
        </w:rPr>
        <w:t xml:space="preserve"> по закупкам составил </w:t>
      </w:r>
      <w:r w:rsidR="00F51240" w:rsidRPr="003A6B6C">
        <w:rPr>
          <w:rFonts w:ascii="Times New Roman" w:hAnsi="Times New Roman" w:cs="Times New Roman"/>
          <w:b/>
          <w:i/>
          <w:sz w:val="28"/>
          <w:szCs w:val="28"/>
        </w:rPr>
        <w:t>2,</w:t>
      </w:r>
      <w:r w:rsidR="0007090D" w:rsidRPr="003A6B6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25428" w:rsidRPr="003A6B6C">
        <w:rPr>
          <w:rFonts w:ascii="Times New Roman" w:hAnsi="Times New Roman" w:cs="Times New Roman"/>
          <w:sz w:val="28"/>
          <w:szCs w:val="28"/>
        </w:rPr>
        <w:t xml:space="preserve"> участника на одну закупку. </w:t>
      </w:r>
    </w:p>
    <w:p w:rsidR="00525428" w:rsidRPr="003A6B6C" w:rsidRDefault="00525428" w:rsidP="00A4278D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>5)</w:t>
      </w:r>
      <w:r w:rsidR="001958CC" w:rsidRPr="003A6B6C">
        <w:rPr>
          <w:rFonts w:ascii="Times New Roman" w:hAnsi="Times New Roman" w:cs="Times New Roman"/>
          <w:sz w:val="28"/>
          <w:szCs w:val="28"/>
        </w:rPr>
        <w:t xml:space="preserve"> </w:t>
      </w:r>
      <w:r w:rsidR="00C62D3D">
        <w:rPr>
          <w:rFonts w:ascii="Times New Roman" w:hAnsi="Times New Roman" w:cs="Times New Roman"/>
          <w:sz w:val="28"/>
          <w:szCs w:val="28"/>
        </w:rPr>
        <w:t>с</w:t>
      </w:r>
      <w:r w:rsidR="001958CC" w:rsidRPr="003A6B6C">
        <w:rPr>
          <w:rFonts w:ascii="Times New Roman" w:hAnsi="Times New Roman" w:cs="Times New Roman"/>
          <w:sz w:val="28"/>
          <w:szCs w:val="28"/>
        </w:rPr>
        <w:t xml:space="preserve"> единственным поставщиком было</w:t>
      </w:r>
      <w:r w:rsidRPr="003A6B6C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1958CC" w:rsidRPr="003A6B6C">
        <w:rPr>
          <w:rFonts w:ascii="Times New Roman" w:hAnsi="Times New Roman" w:cs="Times New Roman"/>
          <w:sz w:val="28"/>
          <w:szCs w:val="28"/>
        </w:rPr>
        <w:t>о</w:t>
      </w:r>
      <w:r w:rsidRPr="003A6B6C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3A6B6C">
        <w:rPr>
          <w:rFonts w:ascii="Times New Roman" w:hAnsi="Times New Roman" w:cs="Times New Roman"/>
          <w:b/>
          <w:i/>
          <w:sz w:val="28"/>
          <w:szCs w:val="28"/>
        </w:rPr>
        <w:t>2594</w:t>
      </w:r>
      <w:r w:rsidR="0012409F" w:rsidRPr="003A6B6C">
        <w:rPr>
          <w:rFonts w:ascii="Times New Roman" w:hAnsi="Times New Roman" w:cs="Times New Roman"/>
          <w:sz w:val="28"/>
          <w:szCs w:val="28"/>
        </w:rPr>
        <w:t xml:space="preserve"> </w:t>
      </w:r>
      <w:r w:rsidRPr="003A6B6C">
        <w:rPr>
          <w:rFonts w:ascii="Times New Roman" w:hAnsi="Times New Roman" w:cs="Times New Roman"/>
          <w:sz w:val="28"/>
          <w:szCs w:val="28"/>
        </w:rPr>
        <w:t>контракт</w:t>
      </w:r>
      <w:r w:rsidR="0007090D" w:rsidRPr="003A6B6C">
        <w:rPr>
          <w:rFonts w:ascii="Times New Roman" w:hAnsi="Times New Roman" w:cs="Times New Roman"/>
          <w:sz w:val="28"/>
          <w:szCs w:val="28"/>
        </w:rPr>
        <w:t>а</w:t>
      </w:r>
      <w:r w:rsidRPr="003A6B6C">
        <w:rPr>
          <w:rFonts w:ascii="Times New Roman" w:hAnsi="Times New Roman" w:cs="Times New Roman"/>
          <w:sz w:val="28"/>
          <w:szCs w:val="28"/>
        </w:rPr>
        <w:t xml:space="preserve"> с  суммарной ценой </w:t>
      </w:r>
      <w:r w:rsidR="0007090D" w:rsidRPr="003A6B6C">
        <w:rPr>
          <w:rFonts w:ascii="Times New Roman" w:hAnsi="Times New Roman" w:cs="Times New Roman"/>
          <w:b/>
          <w:i/>
          <w:sz w:val="28"/>
          <w:szCs w:val="28"/>
        </w:rPr>
        <w:t>2 353,4</w:t>
      </w:r>
      <w:r w:rsidRPr="003A6B6C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12409F" w:rsidRPr="003A6B6C">
        <w:rPr>
          <w:rFonts w:ascii="Times New Roman" w:hAnsi="Times New Roman" w:cs="Times New Roman"/>
          <w:i/>
          <w:sz w:val="28"/>
          <w:szCs w:val="28"/>
        </w:rPr>
        <w:t>1</w:t>
      </w:r>
      <w:r w:rsidR="0007090D" w:rsidRPr="003A6B6C">
        <w:rPr>
          <w:rFonts w:ascii="Times New Roman" w:hAnsi="Times New Roman" w:cs="Times New Roman"/>
          <w:i/>
          <w:sz w:val="28"/>
          <w:szCs w:val="28"/>
        </w:rPr>
        <w:t>0</w:t>
      </w:r>
      <w:r w:rsidRPr="003A6B6C">
        <w:rPr>
          <w:rFonts w:ascii="Times New Roman" w:hAnsi="Times New Roman" w:cs="Times New Roman"/>
          <w:i/>
          <w:sz w:val="28"/>
          <w:szCs w:val="28"/>
        </w:rPr>
        <w:t>% от количества заключенных контрактов</w:t>
      </w:r>
      <w:r w:rsidRPr="003A6B6C">
        <w:rPr>
          <w:rFonts w:ascii="Times New Roman" w:hAnsi="Times New Roman" w:cs="Times New Roman"/>
          <w:sz w:val="28"/>
          <w:szCs w:val="28"/>
        </w:rPr>
        <w:t>).</w:t>
      </w:r>
    </w:p>
    <w:p w:rsidR="00B23920" w:rsidRPr="001958CC" w:rsidRDefault="00525428" w:rsidP="00A4278D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 xml:space="preserve">6) </w:t>
      </w:r>
      <w:r w:rsidR="00C62D3D">
        <w:rPr>
          <w:rFonts w:ascii="Times New Roman" w:hAnsi="Times New Roman" w:cs="Times New Roman"/>
          <w:sz w:val="28"/>
          <w:szCs w:val="28"/>
        </w:rPr>
        <w:t>р</w:t>
      </w:r>
      <w:r w:rsidR="00B23920" w:rsidRPr="003A6B6C">
        <w:rPr>
          <w:rFonts w:ascii="Times New Roman" w:hAnsi="Times New Roman" w:cs="Times New Roman"/>
          <w:sz w:val="28"/>
          <w:szCs w:val="28"/>
        </w:rPr>
        <w:t xml:space="preserve">асторгнуто </w:t>
      </w:r>
      <w:r w:rsidR="0007090D" w:rsidRPr="003A6B6C">
        <w:rPr>
          <w:rFonts w:ascii="Times New Roman" w:hAnsi="Times New Roman" w:cs="Times New Roman"/>
          <w:b/>
          <w:i/>
          <w:sz w:val="28"/>
          <w:szCs w:val="28"/>
        </w:rPr>
        <w:t>517</w:t>
      </w:r>
      <w:r w:rsidR="0007090D" w:rsidRPr="003A6B6C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B23920" w:rsidRPr="003A6B6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07090D" w:rsidRPr="003A6B6C">
        <w:rPr>
          <w:rFonts w:ascii="Times New Roman" w:hAnsi="Times New Roman" w:cs="Times New Roman"/>
          <w:b/>
          <w:i/>
          <w:sz w:val="28"/>
          <w:szCs w:val="28"/>
        </w:rPr>
        <w:t>388,64</w:t>
      </w:r>
      <w:r w:rsidR="0007090D" w:rsidRPr="003A6B6C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07090D" w:rsidRPr="003A6B6C">
        <w:rPr>
          <w:rFonts w:ascii="Times New Roman" w:hAnsi="Times New Roman" w:cs="Times New Roman"/>
          <w:b/>
          <w:i/>
          <w:sz w:val="28"/>
          <w:szCs w:val="28"/>
        </w:rPr>
        <w:t>2,8</w:t>
      </w:r>
      <w:r w:rsidR="00B23920" w:rsidRPr="003A6B6C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B23920" w:rsidRPr="003A6B6C">
        <w:rPr>
          <w:rFonts w:ascii="Times New Roman" w:hAnsi="Times New Roman" w:cs="Times New Roman"/>
          <w:sz w:val="28"/>
          <w:szCs w:val="28"/>
        </w:rPr>
        <w:t xml:space="preserve"> от общего количества заключенных контрактов).</w:t>
      </w:r>
    </w:p>
    <w:p w:rsidR="00D66F2E" w:rsidRDefault="00D66F2E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D66F2E" w:rsidRPr="00757B29" w:rsidRDefault="00D66F2E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60D87" w:rsidRPr="008D5487" w:rsidRDefault="00525428" w:rsidP="00613955">
      <w:pPr>
        <w:tabs>
          <w:tab w:val="left" w:pos="567"/>
          <w:tab w:val="left" w:pos="1134"/>
        </w:tabs>
        <w:spacing w:line="312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487">
        <w:rPr>
          <w:rFonts w:ascii="Times New Roman" w:hAnsi="Times New Roman" w:cs="Times New Roman"/>
          <w:b/>
          <w:sz w:val="28"/>
          <w:szCs w:val="28"/>
        </w:rPr>
        <w:t xml:space="preserve">Предложения по результатам проведенного мониторинга закупок товаров, работ, услуг для обеспечения нужд </w:t>
      </w:r>
      <w:r w:rsidR="00F906C7" w:rsidRPr="008D5487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  <w:r w:rsidRPr="008D5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428" w:rsidRPr="008D5487" w:rsidRDefault="006C13A1" w:rsidP="00613955">
      <w:pPr>
        <w:tabs>
          <w:tab w:val="left" w:pos="567"/>
          <w:tab w:val="left" w:pos="1134"/>
        </w:tabs>
        <w:spacing w:line="312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4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A63AD" w:rsidRPr="008D5487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="00525428" w:rsidRPr="008D5487">
        <w:rPr>
          <w:rFonts w:ascii="Times New Roman" w:hAnsi="Times New Roman" w:cs="Times New Roman"/>
          <w:b/>
          <w:sz w:val="28"/>
          <w:szCs w:val="28"/>
        </w:rPr>
        <w:t>201</w:t>
      </w:r>
      <w:r w:rsidR="00CA63AD" w:rsidRPr="008D5487">
        <w:rPr>
          <w:rFonts w:ascii="Times New Roman" w:hAnsi="Times New Roman" w:cs="Times New Roman"/>
          <w:b/>
          <w:sz w:val="28"/>
          <w:szCs w:val="28"/>
        </w:rPr>
        <w:t>8</w:t>
      </w:r>
      <w:r w:rsidR="00525428" w:rsidRPr="008D548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A63AD" w:rsidRPr="008D5487">
        <w:rPr>
          <w:rFonts w:ascii="Times New Roman" w:hAnsi="Times New Roman" w:cs="Times New Roman"/>
          <w:b/>
          <w:sz w:val="28"/>
          <w:szCs w:val="28"/>
        </w:rPr>
        <w:t>а</w:t>
      </w:r>
    </w:p>
    <w:p w:rsidR="00525428" w:rsidRPr="008D5487" w:rsidRDefault="00525428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525428" w:rsidRPr="008D5487" w:rsidRDefault="00525428" w:rsidP="00613955">
      <w:pPr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8D5487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 </w:t>
      </w:r>
      <w:r w:rsidR="00703D23" w:rsidRPr="008D5487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Pr="008D5487">
        <w:rPr>
          <w:rFonts w:ascii="Times New Roman" w:hAnsi="Times New Roman" w:cs="Times New Roman"/>
          <w:sz w:val="28"/>
          <w:szCs w:val="28"/>
        </w:rPr>
        <w:t xml:space="preserve">необходимо усилить </w:t>
      </w:r>
      <w:proofErr w:type="gramStart"/>
      <w:r w:rsidRPr="008D54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5487">
        <w:rPr>
          <w:rFonts w:ascii="Times New Roman" w:hAnsi="Times New Roman" w:cs="Times New Roman"/>
          <w:sz w:val="28"/>
          <w:szCs w:val="28"/>
        </w:rPr>
        <w:t xml:space="preserve"> соблюдением подведомственными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о контрактной системе в сфере закупок, в том числе по вопросам:</w:t>
      </w:r>
    </w:p>
    <w:p w:rsidR="00525428" w:rsidRPr="008D5487" w:rsidRDefault="00525428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8D5487">
        <w:rPr>
          <w:rFonts w:ascii="Times New Roman" w:hAnsi="Times New Roman" w:cs="Times New Roman"/>
          <w:sz w:val="28"/>
          <w:szCs w:val="28"/>
        </w:rPr>
        <w:t>-</w:t>
      </w:r>
      <w:r w:rsidR="00C62D3D">
        <w:rPr>
          <w:rFonts w:ascii="Times New Roman" w:hAnsi="Times New Roman" w:cs="Times New Roman"/>
          <w:sz w:val="28"/>
          <w:szCs w:val="28"/>
        </w:rPr>
        <w:t> </w:t>
      </w:r>
      <w:r w:rsidRPr="008D5487">
        <w:rPr>
          <w:rFonts w:ascii="Times New Roman" w:hAnsi="Times New Roman" w:cs="Times New Roman"/>
          <w:sz w:val="28"/>
          <w:szCs w:val="28"/>
        </w:rPr>
        <w:t>эффективного и своевременного  планирования закупок товаров, работ, услуг;</w:t>
      </w:r>
    </w:p>
    <w:p w:rsidR="00525428" w:rsidRPr="008D5487" w:rsidRDefault="00525428" w:rsidP="00613955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sz w:val="28"/>
          <w:szCs w:val="28"/>
        </w:rPr>
      </w:pPr>
      <w:r w:rsidRPr="008D5487">
        <w:rPr>
          <w:rFonts w:ascii="Times New Roman" w:hAnsi="Times New Roman" w:cs="Times New Roman"/>
          <w:sz w:val="28"/>
          <w:szCs w:val="28"/>
        </w:rPr>
        <w:t>-</w:t>
      </w:r>
      <w:r w:rsidR="00C62D3D">
        <w:rPr>
          <w:rFonts w:ascii="Times New Roman" w:hAnsi="Times New Roman" w:cs="Times New Roman"/>
          <w:sz w:val="28"/>
          <w:szCs w:val="28"/>
        </w:rPr>
        <w:t> </w:t>
      </w:r>
      <w:r w:rsidRPr="008D5487">
        <w:rPr>
          <w:rFonts w:ascii="Times New Roman" w:hAnsi="Times New Roman" w:cs="Times New Roman"/>
          <w:sz w:val="28"/>
          <w:szCs w:val="28"/>
        </w:rPr>
        <w:t>снижения нарушений при осуществлении закупок запросом котировок, у единственного поставщика (подрядчика, исполнителя);</w:t>
      </w:r>
    </w:p>
    <w:p w:rsidR="00525428" w:rsidRPr="008D5487" w:rsidRDefault="00525428" w:rsidP="00613955">
      <w:pPr>
        <w:shd w:val="clear" w:color="auto" w:fill="FFFFFF"/>
        <w:spacing w:line="312" w:lineRule="auto"/>
        <w:ind w:firstLine="539"/>
        <w:outlineLvl w:val="1"/>
        <w:rPr>
          <w:rFonts w:ascii="Times New Roman" w:hAnsi="Times New Roman" w:cs="Times New Roman"/>
          <w:sz w:val="28"/>
          <w:szCs w:val="28"/>
        </w:rPr>
      </w:pPr>
      <w:r w:rsidRPr="008D5487">
        <w:rPr>
          <w:rFonts w:ascii="Times New Roman" w:hAnsi="Times New Roman" w:cs="Times New Roman"/>
          <w:sz w:val="28"/>
          <w:szCs w:val="28"/>
        </w:rPr>
        <w:t>-</w:t>
      </w:r>
      <w:r w:rsidR="00C62D3D">
        <w:rPr>
          <w:rFonts w:ascii="Times New Roman" w:hAnsi="Times New Roman" w:cs="Times New Roman"/>
          <w:sz w:val="28"/>
          <w:szCs w:val="28"/>
        </w:rPr>
        <w:t> </w:t>
      </w:r>
      <w:r w:rsidRPr="008D5487">
        <w:rPr>
          <w:rFonts w:ascii="Times New Roman" w:hAnsi="Times New Roman" w:cs="Times New Roman"/>
          <w:sz w:val="28"/>
          <w:szCs w:val="28"/>
        </w:rPr>
        <w:t xml:space="preserve">снижения нарушений при ведении реестра контрактов, заключенных заказчиками в соответствии с Законом </w:t>
      </w:r>
      <w:r w:rsidR="00703D23" w:rsidRPr="008D5487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8D5487">
        <w:rPr>
          <w:rFonts w:ascii="Times New Roman" w:hAnsi="Times New Roman" w:cs="Times New Roman"/>
          <w:sz w:val="28"/>
          <w:szCs w:val="28"/>
        </w:rPr>
        <w:t>;</w:t>
      </w:r>
    </w:p>
    <w:p w:rsidR="00525428" w:rsidRDefault="00525428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8D5487">
        <w:rPr>
          <w:rFonts w:ascii="Times New Roman" w:hAnsi="Times New Roman" w:cs="Times New Roman"/>
          <w:sz w:val="28"/>
          <w:szCs w:val="28"/>
        </w:rPr>
        <w:t>-</w:t>
      </w:r>
      <w:r w:rsidR="00C62D3D">
        <w:rPr>
          <w:rFonts w:ascii="Times New Roman" w:hAnsi="Times New Roman" w:cs="Times New Roman"/>
          <w:sz w:val="28"/>
          <w:szCs w:val="28"/>
        </w:rPr>
        <w:t> </w:t>
      </w:r>
      <w:r w:rsidRPr="008D5487">
        <w:rPr>
          <w:rFonts w:ascii="Times New Roman" w:hAnsi="Times New Roman" w:cs="Times New Roman"/>
          <w:sz w:val="28"/>
          <w:szCs w:val="28"/>
        </w:rPr>
        <w:t>исполнения контрактов (в том числе применения мер ответственности)</w:t>
      </w:r>
      <w:r w:rsidR="00C91974" w:rsidRPr="008D5487">
        <w:rPr>
          <w:rFonts w:ascii="Times New Roman" w:hAnsi="Times New Roman" w:cs="Times New Roman"/>
          <w:sz w:val="28"/>
          <w:szCs w:val="28"/>
        </w:rPr>
        <w:t>;</w:t>
      </w:r>
    </w:p>
    <w:p w:rsidR="00D03E76" w:rsidRDefault="00C91974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</w:t>
      </w:r>
      <w:r w:rsidRPr="00C91974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1974">
        <w:rPr>
          <w:rFonts w:ascii="Times New Roman" w:hAnsi="Times New Roman" w:cs="Times New Roman"/>
          <w:sz w:val="28"/>
          <w:szCs w:val="28"/>
        </w:rPr>
        <w:t xml:space="preserve"> муниципальными заказчиками закупок с использованием средств субсидий, предоставляемых из областного бюджета</w:t>
      </w:r>
      <w:r w:rsidR="00D03E76">
        <w:rPr>
          <w:rFonts w:ascii="Times New Roman" w:hAnsi="Times New Roman" w:cs="Times New Roman"/>
          <w:sz w:val="28"/>
          <w:szCs w:val="28"/>
        </w:rPr>
        <w:t>:</w:t>
      </w:r>
    </w:p>
    <w:p w:rsidR="00B23E83" w:rsidRDefault="00B23E83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C91974" w:rsidRDefault="00D03E76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8D5487">
        <w:rPr>
          <w:rFonts w:ascii="Times New Roman" w:hAnsi="Times New Roman" w:cs="Times New Roman"/>
          <w:sz w:val="28"/>
          <w:szCs w:val="28"/>
        </w:rPr>
        <w:t>р</w:t>
      </w:r>
      <w:r w:rsidR="00C91974" w:rsidRPr="00C91974">
        <w:rPr>
          <w:rFonts w:ascii="Times New Roman" w:hAnsi="Times New Roman" w:cs="Times New Roman"/>
          <w:sz w:val="28"/>
          <w:szCs w:val="28"/>
        </w:rPr>
        <w:t>уководителям органов местного самоуправления муниципальных образований, расположенными на территории Свердловской области</w:t>
      </w:r>
      <w:r w:rsidR="008D5487">
        <w:rPr>
          <w:rFonts w:ascii="Times New Roman" w:hAnsi="Times New Roman" w:cs="Times New Roman"/>
          <w:sz w:val="28"/>
          <w:szCs w:val="28"/>
        </w:rPr>
        <w:t>,</w:t>
      </w:r>
      <w:r w:rsidR="00C91974" w:rsidRPr="00C91974">
        <w:rPr>
          <w:rFonts w:ascii="Times New Roman" w:hAnsi="Times New Roman" w:cs="Times New Roman"/>
          <w:sz w:val="28"/>
          <w:szCs w:val="28"/>
        </w:rPr>
        <w:t xml:space="preserve"> и исполнительным органам государственной власти Свердловской области</w:t>
      </w:r>
      <w:r w:rsidR="00C9197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C91974" w:rsidRPr="00C91974">
        <w:rPr>
          <w:rFonts w:ascii="Times New Roman" w:hAnsi="Times New Roman" w:cs="Times New Roman"/>
          <w:sz w:val="28"/>
          <w:szCs w:val="28"/>
        </w:rPr>
        <w:t xml:space="preserve"> </w:t>
      </w:r>
      <w:r w:rsidR="00C91974">
        <w:rPr>
          <w:rFonts w:ascii="Times New Roman" w:hAnsi="Times New Roman" w:cs="Times New Roman"/>
          <w:sz w:val="28"/>
          <w:szCs w:val="28"/>
        </w:rPr>
        <w:t>усилить контроль за:</w:t>
      </w:r>
    </w:p>
    <w:p w:rsidR="00C91974" w:rsidRDefault="00C91974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D3D">
        <w:rPr>
          <w:rFonts w:ascii="Times New Roman" w:hAnsi="Times New Roman" w:cs="Times New Roman"/>
          <w:sz w:val="28"/>
          <w:szCs w:val="28"/>
        </w:rPr>
        <w:t> </w:t>
      </w:r>
      <w:r w:rsidRPr="00C91974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1974">
        <w:rPr>
          <w:rFonts w:ascii="Times New Roman" w:hAnsi="Times New Roman" w:cs="Times New Roman"/>
          <w:sz w:val="28"/>
          <w:szCs w:val="28"/>
        </w:rPr>
        <w:t xml:space="preserve"> соглашений</w:t>
      </w:r>
      <w:r>
        <w:rPr>
          <w:rFonts w:ascii="Times New Roman" w:hAnsi="Times New Roman" w:cs="Times New Roman"/>
          <w:sz w:val="28"/>
          <w:szCs w:val="28"/>
        </w:rPr>
        <w:t xml:space="preserve">, заключенных между </w:t>
      </w:r>
      <w:r w:rsidRPr="00C91974">
        <w:rPr>
          <w:rFonts w:ascii="Times New Roman" w:hAnsi="Times New Roman" w:cs="Times New Roman"/>
          <w:sz w:val="28"/>
          <w:szCs w:val="28"/>
        </w:rPr>
        <w:t>Департаментом и муниципальными образованиями, расположенными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974">
        <w:rPr>
          <w:rFonts w:ascii="Times New Roman" w:hAnsi="Times New Roman" w:cs="Times New Roman"/>
          <w:sz w:val="28"/>
          <w:szCs w:val="28"/>
        </w:rPr>
        <w:t xml:space="preserve"> о передаче Департаменту полномочий на определение поставщиков (подрядчиков, исполнителей) при расходовании средств субсидий, предоставляемых из областного бюджета, в случаях, если начальная (максимальная) цена контракта составляет 10 миллионов рублей </w:t>
      </w:r>
      <w:r w:rsidR="00F27A7D">
        <w:rPr>
          <w:rFonts w:ascii="Times New Roman" w:hAnsi="Times New Roman" w:cs="Times New Roman"/>
          <w:sz w:val="28"/>
          <w:szCs w:val="28"/>
        </w:rPr>
        <w:t>и более</w:t>
      </w:r>
      <w:r w:rsidR="00D03E76">
        <w:rPr>
          <w:rFonts w:ascii="Times New Roman" w:hAnsi="Times New Roman" w:cs="Times New Roman"/>
          <w:sz w:val="28"/>
          <w:szCs w:val="28"/>
        </w:rPr>
        <w:t xml:space="preserve"> (далее – соглашение о передаче полномочий)</w:t>
      </w:r>
      <w:r w:rsidR="00F27A7D">
        <w:rPr>
          <w:rFonts w:ascii="Times New Roman" w:hAnsi="Times New Roman" w:cs="Times New Roman"/>
          <w:sz w:val="28"/>
          <w:szCs w:val="28"/>
        </w:rPr>
        <w:t>;</w:t>
      </w:r>
      <w:r w:rsidRPr="00C91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428" w:rsidRDefault="00C91974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D3D">
        <w:rPr>
          <w:rFonts w:ascii="Times New Roman" w:hAnsi="Times New Roman" w:cs="Times New Roman"/>
          <w:sz w:val="28"/>
          <w:szCs w:val="28"/>
        </w:rPr>
        <w:t> </w:t>
      </w:r>
      <w:r w:rsidRPr="00C91974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1974">
        <w:rPr>
          <w:rFonts w:ascii="Times New Roman" w:hAnsi="Times New Roman" w:cs="Times New Roman"/>
          <w:sz w:val="28"/>
          <w:szCs w:val="28"/>
        </w:rPr>
        <w:t xml:space="preserve"> квалификации специалистов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76" w:rsidRPr="00ED164D" w:rsidRDefault="00D03E76" w:rsidP="00613955">
      <w:pPr>
        <w:tabs>
          <w:tab w:val="left" w:pos="567"/>
          <w:tab w:val="left" w:pos="1134"/>
        </w:tabs>
        <w:spacing w:line="312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34AEB" w:rsidRPr="00934AEB">
        <w:rPr>
          <w:rFonts w:ascii="Times New Roman" w:hAnsi="Times New Roman" w:cs="Times New Roman"/>
          <w:sz w:val="28"/>
          <w:szCs w:val="28"/>
        </w:rPr>
        <w:t xml:space="preserve">руководителям исполнительных органов государственной власти Свердловской области не предоставлять субсидии, выделяемые из средств областного (федерального) бюджетов, на </w:t>
      </w:r>
      <w:proofErr w:type="spellStart"/>
      <w:r w:rsidR="00934AEB" w:rsidRPr="00934AE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34AEB" w:rsidRPr="00934AEB">
        <w:rPr>
          <w:rFonts w:ascii="Times New Roman" w:hAnsi="Times New Roman" w:cs="Times New Roman"/>
          <w:sz w:val="28"/>
          <w:szCs w:val="28"/>
        </w:rPr>
        <w:t xml:space="preserve"> мероприятий в рамках реализации государственных программ Свердловской области, </w:t>
      </w:r>
      <w:r w:rsidR="00934AEB">
        <w:rPr>
          <w:rFonts w:ascii="Times New Roman" w:hAnsi="Times New Roman" w:cs="Times New Roman"/>
          <w:sz w:val="28"/>
          <w:szCs w:val="28"/>
        </w:rPr>
        <w:br/>
      </w:r>
      <w:r w:rsidR="00934AEB" w:rsidRPr="00934AEB">
        <w:rPr>
          <w:rFonts w:ascii="Times New Roman" w:hAnsi="Times New Roman" w:cs="Times New Roman"/>
          <w:sz w:val="28"/>
          <w:szCs w:val="28"/>
        </w:rPr>
        <w:t>в случае нарушения муниципальным образованием соглашения о передаче полномочий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03E76" w:rsidRPr="00ED164D" w:rsidSect="003A6B6C">
      <w:headerReference w:type="default" r:id="rId29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3D" w:rsidRDefault="00C62D3D" w:rsidP="00B73B20">
      <w:r>
        <w:separator/>
      </w:r>
    </w:p>
  </w:endnote>
  <w:endnote w:type="continuationSeparator" w:id="0">
    <w:p w:rsidR="00C62D3D" w:rsidRDefault="00C62D3D" w:rsidP="00B7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3D" w:rsidRDefault="00C62D3D" w:rsidP="00B73B20">
      <w:r>
        <w:separator/>
      </w:r>
    </w:p>
  </w:footnote>
  <w:footnote w:type="continuationSeparator" w:id="0">
    <w:p w:rsidR="00C62D3D" w:rsidRDefault="00C62D3D" w:rsidP="00B73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077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2D3D" w:rsidRPr="005248BB" w:rsidRDefault="00C62D3D" w:rsidP="000F2BA8">
        <w:pPr>
          <w:pStyle w:val="ab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4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4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4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1F27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524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2D3D" w:rsidRDefault="00C62D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400"/>
    <w:multiLevelType w:val="hybridMultilevel"/>
    <w:tmpl w:val="6672A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61D8C"/>
    <w:multiLevelType w:val="multilevel"/>
    <w:tmpl w:val="301883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9B3227B"/>
    <w:multiLevelType w:val="multilevel"/>
    <w:tmpl w:val="301883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1044D54"/>
    <w:multiLevelType w:val="hybridMultilevel"/>
    <w:tmpl w:val="65247858"/>
    <w:lvl w:ilvl="0" w:tplc="133AE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D6E1E"/>
    <w:multiLevelType w:val="hybridMultilevel"/>
    <w:tmpl w:val="88EC433A"/>
    <w:lvl w:ilvl="0" w:tplc="4AFC1C84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B037E2B"/>
    <w:multiLevelType w:val="hybridMultilevel"/>
    <w:tmpl w:val="35320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9F3C08"/>
    <w:multiLevelType w:val="hybridMultilevel"/>
    <w:tmpl w:val="1E227A1E"/>
    <w:lvl w:ilvl="0" w:tplc="F7D8B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B32204"/>
    <w:multiLevelType w:val="hybridMultilevel"/>
    <w:tmpl w:val="24D42434"/>
    <w:lvl w:ilvl="0" w:tplc="F6FA695A">
      <w:start w:val="1"/>
      <w:numFmt w:val="decimal"/>
      <w:lvlText w:val="%1)"/>
      <w:lvlJc w:val="left"/>
      <w:pPr>
        <w:ind w:left="100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8C6350"/>
    <w:multiLevelType w:val="hybridMultilevel"/>
    <w:tmpl w:val="CC509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D00BC0"/>
    <w:multiLevelType w:val="hybridMultilevel"/>
    <w:tmpl w:val="E786872E"/>
    <w:lvl w:ilvl="0" w:tplc="4AFC1C84">
      <w:start w:val="1"/>
      <w:numFmt w:val="bullet"/>
      <w:lvlText w:val="−"/>
      <w:lvlJc w:val="left"/>
      <w:pPr>
        <w:ind w:left="25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</w:abstractNum>
  <w:abstractNum w:abstractNumId="10">
    <w:nsid w:val="7C982306"/>
    <w:multiLevelType w:val="hybridMultilevel"/>
    <w:tmpl w:val="4476B2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8C"/>
    <w:rsid w:val="0000615E"/>
    <w:rsid w:val="000127DC"/>
    <w:rsid w:val="00012806"/>
    <w:rsid w:val="000205B2"/>
    <w:rsid w:val="00023D7E"/>
    <w:rsid w:val="00032B25"/>
    <w:rsid w:val="00036CAF"/>
    <w:rsid w:val="00037895"/>
    <w:rsid w:val="00037F5F"/>
    <w:rsid w:val="00040E0D"/>
    <w:rsid w:val="00040F30"/>
    <w:rsid w:val="00044416"/>
    <w:rsid w:val="000472B6"/>
    <w:rsid w:val="00050845"/>
    <w:rsid w:val="00052E00"/>
    <w:rsid w:val="0005375E"/>
    <w:rsid w:val="0005591F"/>
    <w:rsid w:val="00060357"/>
    <w:rsid w:val="000603AA"/>
    <w:rsid w:val="00061316"/>
    <w:rsid w:val="00062409"/>
    <w:rsid w:val="00062759"/>
    <w:rsid w:val="00064E2E"/>
    <w:rsid w:val="00067E44"/>
    <w:rsid w:val="000708D5"/>
    <w:rsid w:val="0007090D"/>
    <w:rsid w:val="000725BE"/>
    <w:rsid w:val="00073E10"/>
    <w:rsid w:val="00075ABF"/>
    <w:rsid w:val="00075B62"/>
    <w:rsid w:val="000807CC"/>
    <w:rsid w:val="000812B1"/>
    <w:rsid w:val="0008147B"/>
    <w:rsid w:val="00081D2E"/>
    <w:rsid w:val="00087CF8"/>
    <w:rsid w:val="000903C1"/>
    <w:rsid w:val="00092D9D"/>
    <w:rsid w:val="00095D1D"/>
    <w:rsid w:val="00096075"/>
    <w:rsid w:val="00096D51"/>
    <w:rsid w:val="000A0519"/>
    <w:rsid w:val="000A2F60"/>
    <w:rsid w:val="000A6596"/>
    <w:rsid w:val="000A7E7B"/>
    <w:rsid w:val="000B0565"/>
    <w:rsid w:val="000B1684"/>
    <w:rsid w:val="000B26CE"/>
    <w:rsid w:val="000B36C8"/>
    <w:rsid w:val="000B44B8"/>
    <w:rsid w:val="000C07FE"/>
    <w:rsid w:val="000C3818"/>
    <w:rsid w:val="000C4615"/>
    <w:rsid w:val="000C5804"/>
    <w:rsid w:val="000C789F"/>
    <w:rsid w:val="000C7D53"/>
    <w:rsid w:val="000D1173"/>
    <w:rsid w:val="000D5B69"/>
    <w:rsid w:val="000D6D62"/>
    <w:rsid w:val="000E0668"/>
    <w:rsid w:val="000E16E6"/>
    <w:rsid w:val="000E1711"/>
    <w:rsid w:val="000E46E7"/>
    <w:rsid w:val="000E51F1"/>
    <w:rsid w:val="000E7F54"/>
    <w:rsid w:val="000F2BA8"/>
    <w:rsid w:val="000F56B1"/>
    <w:rsid w:val="000F7915"/>
    <w:rsid w:val="001003D1"/>
    <w:rsid w:val="00100D97"/>
    <w:rsid w:val="0010137C"/>
    <w:rsid w:val="001044C1"/>
    <w:rsid w:val="00106AB7"/>
    <w:rsid w:val="00110B08"/>
    <w:rsid w:val="00112E47"/>
    <w:rsid w:val="00113D1E"/>
    <w:rsid w:val="00114D8A"/>
    <w:rsid w:val="00120E88"/>
    <w:rsid w:val="00121CA9"/>
    <w:rsid w:val="00123DB3"/>
    <w:rsid w:val="0012409F"/>
    <w:rsid w:val="0012508D"/>
    <w:rsid w:val="001253F6"/>
    <w:rsid w:val="00126919"/>
    <w:rsid w:val="0013097B"/>
    <w:rsid w:val="00131D5C"/>
    <w:rsid w:val="00133400"/>
    <w:rsid w:val="00137212"/>
    <w:rsid w:val="0013761A"/>
    <w:rsid w:val="00140037"/>
    <w:rsid w:val="00140D4B"/>
    <w:rsid w:val="00150112"/>
    <w:rsid w:val="001510C2"/>
    <w:rsid w:val="00151318"/>
    <w:rsid w:val="0015194C"/>
    <w:rsid w:val="001531BF"/>
    <w:rsid w:val="00161689"/>
    <w:rsid w:val="00163581"/>
    <w:rsid w:val="00167ED8"/>
    <w:rsid w:val="001739BD"/>
    <w:rsid w:val="0017445A"/>
    <w:rsid w:val="00174FBC"/>
    <w:rsid w:val="00176722"/>
    <w:rsid w:val="001809A0"/>
    <w:rsid w:val="00182858"/>
    <w:rsid w:val="00182DB7"/>
    <w:rsid w:val="0018309F"/>
    <w:rsid w:val="00186446"/>
    <w:rsid w:val="001934E8"/>
    <w:rsid w:val="001958CC"/>
    <w:rsid w:val="001A001D"/>
    <w:rsid w:val="001A0964"/>
    <w:rsid w:val="001A3C21"/>
    <w:rsid w:val="001A6620"/>
    <w:rsid w:val="001A706D"/>
    <w:rsid w:val="001A75DD"/>
    <w:rsid w:val="001B1728"/>
    <w:rsid w:val="001B26D1"/>
    <w:rsid w:val="001B348C"/>
    <w:rsid w:val="001B3E3B"/>
    <w:rsid w:val="001B5059"/>
    <w:rsid w:val="001B5E3B"/>
    <w:rsid w:val="001B6FCF"/>
    <w:rsid w:val="001C3FA1"/>
    <w:rsid w:val="001C52A4"/>
    <w:rsid w:val="001C69BA"/>
    <w:rsid w:val="001C75AB"/>
    <w:rsid w:val="001D4896"/>
    <w:rsid w:val="001D6420"/>
    <w:rsid w:val="001D6960"/>
    <w:rsid w:val="001D7A64"/>
    <w:rsid w:val="001D7A6A"/>
    <w:rsid w:val="001D7EA9"/>
    <w:rsid w:val="001E2265"/>
    <w:rsid w:val="001E28DD"/>
    <w:rsid w:val="001E468C"/>
    <w:rsid w:val="001E4FBC"/>
    <w:rsid w:val="001E5CC6"/>
    <w:rsid w:val="001F01D4"/>
    <w:rsid w:val="001F1777"/>
    <w:rsid w:val="001F5AE0"/>
    <w:rsid w:val="001F5B04"/>
    <w:rsid w:val="001F6099"/>
    <w:rsid w:val="001F774C"/>
    <w:rsid w:val="001F782C"/>
    <w:rsid w:val="0020409A"/>
    <w:rsid w:val="002064AD"/>
    <w:rsid w:val="00207D95"/>
    <w:rsid w:val="00211A63"/>
    <w:rsid w:val="00213536"/>
    <w:rsid w:val="0021720E"/>
    <w:rsid w:val="00221309"/>
    <w:rsid w:val="00225025"/>
    <w:rsid w:val="002253F3"/>
    <w:rsid w:val="00230A5D"/>
    <w:rsid w:val="00231A7A"/>
    <w:rsid w:val="0023548C"/>
    <w:rsid w:val="00236F78"/>
    <w:rsid w:val="002406F5"/>
    <w:rsid w:val="002423DF"/>
    <w:rsid w:val="002426CE"/>
    <w:rsid w:val="00243337"/>
    <w:rsid w:val="002436D0"/>
    <w:rsid w:val="00253C24"/>
    <w:rsid w:val="002553B6"/>
    <w:rsid w:val="00255491"/>
    <w:rsid w:val="00255826"/>
    <w:rsid w:val="002566B1"/>
    <w:rsid w:val="00256BDF"/>
    <w:rsid w:val="002653D7"/>
    <w:rsid w:val="002656CC"/>
    <w:rsid w:val="00266AF0"/>
    <w:rsid w:val="0027185F"/>
    <w:rsid w:val="0027226B"/>
    <w:rsid w:val="002730CF"/>
    <w:rsid w:val="00274997"/>
    <w:rsid w:val="00275EC2"/>
    <w:rsid w:val="002761F7"/>
    <w:rsid w:val="00276CBA"/>
    <w:rsid w:val="00281663"/>
    <w:rsid w:val="002819A3"/>
    <w:rsid w:val="002836E6"/>
    <w:rsid w:val="0028513B"/>
    <w:rsid w:val="00286F79"/>
    <w:rsid w:val="00290624"/>
    <w:rsid w:val="00290E02"/>
    <w:rsid w:val="00292D49"/>
    <w:rsid w:val="0029379D"/>
    <w:rsid w:val="002941DD"/>
    <w:rsid w:val="00295E6A"/>
    <w:rsid w:val="002974B6"/>
    <w:rsid w:val="002A3D7F"/>
    <w:rsid w:val="002A636D"/>
    <w:rsid w:val="002B103B"/>
    <w:rsid w:val="002B13D5"/>
    <w:rsid w:val="002B170E"/>
    <w:rsid w:val="002C6C2E"/>
    <w:rsid w:val="002C7B8D"/>
    <w:rsid w:val="002D0EEF"/>
    <w:rsid w:val="002D155C"/>
    <w:rsid w:val="002D2983"/>
    <w:rsid w:val="002D355B"/>
    <w:rsid w:val="002D35DD"/>
    <w:rsid w:val="002E0FE4"/>
    <w:rsid w:val="002E25C7"/>
    <w:rsid w:val="002E3009"/>
    <w:rsid w:val="002E742F"/>
    <w:rsid w:val="002F040F"/>
    <w:rsid w:val="002F33CE"/>
    <w:rsid w:val="002F3949"/>
    <w:rsid w:val="002F65B5"/>
    <w:rsid w:val="002F7CF5"/>
    <w:rsid w:val="0030169C"/>
    <w:rsid w:val="0030247B"/>
    <w:rsid w:val="00302BE9"/>
    <w:rsid w:val="00304190"/>
    <w:rsid w:val="00312912"/>
    <w:rsid w:val="00315D18"/>
    <w:rsid w:val="003162AF"/>
    <w:rsid w:val="00316F9B"/>
    <w:rsid w:val="00320F62"/>
    <w:rsid w:val="00321D92"/>
    <w:rsid w:val="003226A3"/>
    <w:rsid w:val="00324A8F"/>
    <w:rsid w:val="0033274D"/>
    <w:rsid w:val="0033611E"/>
    <w:rsid w:val="00337F02"/>
    <w:rsid w:val="0034031B"/>
    <w:rsid w:val="003446AE"/>
    <w:rsid w:val="00344F96"/>
    <w:rsid w:val="00351CD6"/>
    <w:rsid w:val="003538CC"/>
    <w:rsid w:val="003554BF"/>
    <w:rsid w:val="00356FC1"/>
    <w:rsid w:val="003613E5"/>
    <w:rsid w:val="003709FD"/>
    <w:rsid w:val="0037293A"/>
    <w:rsid w:val="003840A8"/>
    <w:rsid w:val="00385F79"/>
    <w:rsid w:val="00386E60"/>
    <w:rsid w:val="00387F8F"/>
    <w:rsid w:val="00394168"/>
    <w:rsid w:val="00395FA1"/>
    <w:rsid w:val="0039778E"/>
    <w:rsid w:val="003A019C"/>
    <w:rsid w:val="003A592F"/>
    <w:rsid w:val="003A6B6C"/>
    <w:rsid w:val="003A778B"/>
    <w:rsid w:val="003B59D4"/>
    <w:rsid w:val="003B76F5"/>
    <w:rsid w:val="003C0882"/>
    <w:rsid w:val="003C1974"/>
    <w:rsid w:val="003C1A88"/>
    <w:rsid w:val="003C4078"/>
    <w:rsid w:val="003C63F7"/>
    <w:rsid w:val="003D43C0"/>
    <w:rsid w:val="003D711E"/>
    <w:rsid w:val="003D7723"/>
    <w:rsid w:val="003E4798"/>
    <w:rsid w:val="003E5074"/>
    <w:rsid w:val="003E63E7"/>
    <w:rsid w:val="003F2429"/>
    <w:rsid w:val="003F3411"/>
    <w:rsid w:val="003F6149"/>
    <w:rsid w:val="003F76CC"/>
    <w:rsid w:val="003F76E2"/>
    <w:rsid w:val="00403110"/>
    <w:rsid w:val="00414AF8"/>
    <w:rsid w:val="00415030"/>
    <w:rsid w:val="0041718D"/>
    <w:rsid w:val="00417FD7"/>
    <w:rsid w:val="00420367"/>
    <w:rsid w:val="00420A88"/>
    <w:rsid w:val="0042154E"/>
    <w:rsid w:val="00422F0B"/>
    <w:rsid w:val="00423645"/>
    <w:rsid w:val="00424B96"/>
    <w:rsid w:val="00424DCD"/>
    <w:rsid w:val="00424E64"/>
    <w:rsid w:val="004352E8"/>
    <w:rsid w:val="004363FA"/>
    <w:rsid w:val="00436DF8"/>
    <w:rsid w:val="00441E15"/>
    <w:rsid w:val="00443AFF"/>
    <w:rsid w:val="004466A6"/>
    <w:rsid w:val="004476FF"/>
    <w:rsid w:val="00450433"/>
    <w:rsid w:val="00451759"/>
    <w:rsid w:val="004525FB"/>
    <w:rsid w:val="00453EC5"/>
    <w:rsid w:val="00455A82"/>
    <w:rsid w:val="00460D87"/>
    <w:rsid w:val="00463916"/>
    <w:rsid w:val="00463DF4"/>
    <w:rsid w:val="0046426B"/>
    <w:rsid w:val="00464CE2"/>
    <w:rsid w:val="00464F40"/>
    <w:rsid w:val="00466F79"/>
    <w:rsid w:val="00467E5F"/>
    <w:rsid w:val="00470336"/>
    <w:rsid w:val="0047143C"/>
    <w:rsid w:val="00473301"/>
    <w:rsid w:val="00484CAF"/>
    <w:rsid w:val="00485276"/>
    <w:rsid w:val="00485CE0"/>
    <w:rsid w:val="004872B0"/>
    <w:rsid w:val="004874D4"/>
    <w:rsid w:val="00487B2D"/>
    <w:rsid w:val="00487E97"/>
    <w:rsid w:val="004921AB"/>
    <w:rsid w:val="004972CD"/>
    <w:rsid w:val="0049756F"/>
    <w:rsid w:val="004A029B"/>
    <w:rsid w:val="004A367C"/>
    <w:rsid w:val="004A36CB"/>
    <w:rsid w:val="004A422E"/>
    <w:rsid w:val="004A4F1C"/>
    <w:rsid w:val="004A58B5"/>
    <w:rsid w:val="004B1BD1"/>
    <w:rsid w:val="004B3B2A"/>
    <w:rsid w:val="004B575D"/>
    <w:rsid w:val="004B6221"/>
    <w:rsid w:val="004B63DD"/>
    <w:rsid w:val="004C085A"/>
    <w:rsid w:val="004C0A44"/>
    <w:rsid w:val="004C20B3"/>
    <w:rsid w:val="004C35DE"/>
    <w:rsid w:val="004C365D"/>
    <w:rsid w:val="004C3E70"/>
    <w:rsid w:val="004E03F0"/>
    <w:rsid w:val="004E24F5"/>
    <w:rsid w:val="004E2ACF"/>
    <w:rsid w:val="004E5ED7"/>
    <w:rsid w:val="004F2307"/>
    <w:rsid w:val="004F37ED"/>
    <w:rsid w:val="004F52E8"/>
    <w:rsid w:val="004F5C10"/>
    <w:rsid w:val="004F7556"/>
    <w:rsid w:val="0050271E"/>
    <w:rsid w:val="005027BC"/>
    <w:rsid w:val="0050308A"/>
    <w:rsid w:val="0050683C"/>
    <w:rsid w:val="00510B88"/>
    <w:rsid w:val="005156DF"/>
    <w:rsid w:val="00516E95"/>
    <w:rsid w:val="005222BC"/>
    <w:rsid w:val="0052246E"/>
    <w:rsid w:val="00522851"/>
    <w:rsid w:val="00523306"/>
    <w:rsid w:val="00524829"/>
    <w:rsid w:val="005248BB"/>
    <w:rsid w:val="00525428"/>
    <w:rsid w:val="005256F1"/>
    <w:rsid w:val="005271E0"/>
    <w:rsid w:val="00527A80"/>
    <w:rsid w:val="00530638"/>
    <w:rsid w:val="00530E0E"/>
    <w:rsid w:val="00531F27"/>
    <w:rsid w:val="00532418"/>
    <w:rsid w:val="00532BA0"/>
    <w:rsid w:val="00543DC7"/>
    <w:rsid w:val="00547EF4"/>
    <w:rsid w:val="00550260"/>
    <w:rsid w:val="00551149"/>
    <w:rsid w:val="005522D8"/>
    <w:rsid w:val="00560A55"/>
    <w:rsid w:val="00582C59"/>
    <w:rsid w:val="00586C61"/>
    <w:rsid w:val="00587758"/>
    <w:rsid w:val="00591694"/>
    <w:rsid w:val="00592C92"/>
    <w:rsid w:val="0059492B"/>
    <w:rsid w:val="005964B3"/>
    <w:rsid w:val="005967C7"/>
    <w:rsid w:val="00597870"/>
    <w:rsid w:val="005A068F"/>
    <w:rsid w:val="005A1CA2"/>
    <w:rsid w:val="005A2C4A"/>
    <w:rsid w:val="005A4B94"/>
    <w:rsid w:val="005A4C7A"/>
    <w:rsid w:val="005A7286"/>
    <w:rsid w:val="005B0545"/>
    <w:rsid w:val="005B0962"/>
    <w:rsid w:val="005B30FC"/>
    <w:rsid w:val="005B3CCD"/>
    <w:rsid w:val="005B6230"/>
    <w:rsid w:val="005B656E"/>
    <w:rsid w:val="005B65A1"/>
    <w:rsid w:val="005C12BB"/>
    <w:rsid w:val="005C2184"/>
    <w:rsid w:val="005C24C7"/>
    <w:rsid w:val="005C2C3F"/>
    <w:rsid w:val="005C637A"/>
    <w:rsid w:val="005D2D4A"/>
    <w:rsid w:val="005D5246"/>
    <w:rsid w:val="005D53A4"/>
    <w:rsid w:val="005D6284"/>
    <w:rsid w:val="005D6368"/>
    <w:rsid w:val="005D67A4"/>
    <w:rsid w:val="005D7E79"/>
    <w:rsid w:val="005E148B"/>
    <w:rsid w:val="005E2093"/>
    <w:rsid w:val="005E7E0B"/>
    <w:rsid w:val="005F03E0"/>
    <w:rsid w:val="005F1445"/>
    <w:rsid w:val="005F1464"/>
    <w:rsid w:val="005F6578"/>
    <w:rsid w:val="00600A74"/>
    <w:rsid w:val="00605DBC"/>
    <w:rsid w:val="00610D83"/>
    <w:rsid w:val="00613955"/>
    <w:rsid w:val="00620264"/>
    <w:rsid w:val="0062039B"/>
    <w:rsid w:val="0062555A"/>
    <w:rsid w:val="00631855"/>
    <w:rsid w:val="00634C5B"/>
    <w:rsid w:val="006358B0"/>
    <w:rsid w:val="00636327"/>
    <w:rsid w:val="006415E7"/>
    <w:rsid w:val="00641E41"/>
    <w:rsid w:val="006436AB"/>
    <w:rsid w:val="00644BDD"/>
    <w:rsid w:val="00645524"/>
    <w:rsid w:val="006501E0"/>
    <w:rsid w:val="0065076D"/>
    <w:rsid w:val="00651518"/>
    <w:rsid w:val="0065364E"/>
    <w:rsid w:val="00654DB2"/>
    <w:rsid w:val="00656337"/>
    <w:rsid w:val="0066021F"/>
    <w:rsid w:val="00663FA8"/>
    <w:rsid w:val="00666764"/>
    <w:rsid w:val="00667A7B"/>
    <w:rsid w:val="00674135"/>
    <w:rsid w:val="00675398"/>
    <w:rsid w:val="0068142B"/>
    <w:rsid w:val="00681628"/>
    <w:rsid w:val="006823D6"/>
    <w:rsid w:val="00686927"/>
    <w:rsid w:val="00691FDF"/>
    <w:rsid w:val="006933B3"/>
    <w:rsid w:val="00697BBD"/>
    <w:rsid w:val="006A15A4"/>
    <w:rsid w:val="006A50C9"/>
    <w:rsid w:val="006A659E"/>
    <w:rsid w:val="006A692A"/>
    <w:rsid w:val="006B112B"/>
    <w:rsid w:val="006B11C2"/>
    <w:rsid w:val="006B3458"/>
    <w:rsid w:val="006B5DBE"/>
    <w:rsid w:val="006B5FD6"/>
    <w:rsid w:val="006B6577"/>
    <w:rsid w:val="006B66F0"/>
    <w:rsid w:val="006B6A94"/>
    <w:rsid w:val="006C0245"/>
    <w:rsid w:val="006C13A1"/>
    <w:rsid w:val="006C5528"/>
    <w:rsid w:val="006C772A"/>
    <w:rsid w:val="006D1972"/>
    <w:rsid w:val="006D32CF"/>
    <w:rsid w:val="006D40C8"/>
    <w:rsid w:val="006D44D1"/>
    <w:rsid w:val="006D6526"/>
    <w:rsid w:val="006D6946"/>
    <w:rsid w:val="006E0157"/>
    <w:rsid w:val="006E1899"/>
    <w:rsid w:val="006E779C"/>
    <w:rsid w:val="007019ED"/>
    <w:rsid w:val="00702378"/>
    <w:rsid w:val="00703D23"/>
    <w:rsid w:val="00720818"/>
    <w:rsid w:val="00722376"/>
    <w:rsid w:val="00723456"/>
    <w:rsid w:val="0072512B"/>
    <w:rsid w:val="00725E8F"/>
    <w:rsid w:val="00734DC2"/>
    <w:rsid w:val="00736264"/>
    <w:rsid w:val="0074023A"/>
    <w:rsid w:val="007404D2"/>
    <w:rsid w:val="00744F3F"/>
    <w:rsid w:val="007477A4"/>
    <w:rsid w:val="00752A03"/>
    <w:rsid w:val="00752E23"/>
    <w:rsid w:val="00753583"/>
    <w:rsid w:val="00756141"/>
    <w:rsid w:val="007561FA"/>
    <w:rsid w:val="00757B29"/>
    <w:rsid w:val="00760107"/>
    <w:rsid w:val="007622F3"/>
    <w:rsid w:val="007638B6"/>
    <w:rsid w:val="00763FE5"/>
    <w:rsid w:val="00772609"/>
    <w:rsid w:val="00772F2D"/>
    <w:rsid w:val="007733E8"/>
    <w:rsid w:val="00773CC6"/>
    <w:rsid w:val="0077648D"/>
    <w:rsid w:val="00776AFB"/>
    <w:rsid w:val="00777DCC"/>
    <w:rsid w:val="007831C9"/>
    <w:rsid w:val="00785BEF"/>
    <w:rsid w:val="00785E0A"/>
    <w:rsid w:val="00786D28"/>
    <w:rsid w:val="00787199"/>
    <w:rsid w:val="00787991"/>
    <w:rsid w:val="00792402"/>
    <w:rsid w:val="00792C56"/>
    <w:rsid w:val="00796874"/>
    <w:rsid w:val="00797051"/>
    <w:rsid w:val="00797A58"/>
    <w:rsid w:val="00797C3C"/>
    <w:rsid w:val="007A73EE"/>
    <w:rsid w:val="007C0E1D"/>
    <w:rsid w:val="007D0083"/>
    <w:rsid w:val="007D143F"/>
    <w:rsid w:val="007D1BDD"/>
    <w:rsid w:val="007E11B7"/>
    <w:rsid w:val="007E1448"/>
    <w:rsid w:val="007E353B"/>
    <w:rsid w:val="007E374E"/>
    <w:rsid w:val="007E4B0A"/>
    <w:rsid w:val="007E6C7D"/>
    <w:rsid w:val="007F0F00"/>
    <w:rsid w:val="007F26D1"/>
    <w:rsid w:val="007F2CB3"/>
    <w:rsid w:val="007F39F2"/>
    <w:rsid w:val="007F78AA"/>
    <w:rsid w:val="00802C5F"/>
    <w:rsid w:val="00803561"/>
    <w:rsid w:val="008054D9"/>
    <w:rsid w:val="00805BE6"/>
    <w:rsid w:val="00805F7B"/>
    <w:rsid w:val="00807477"/>
    <w:rsid w:val="0080754D"/>
    <w:rsid w:val="0080799F"/>
    <w:rsid w:val="00810245"/>
    <w:rsid w:val="008111C4"/>
    <w:rsid w:val="00812988"/>
    <w:rsid w:val="0081681B"/>
    <w:rsid w:val="00817453"/>
    <w:rsid w:val="00825A53"/>
    <w:rsid w:val="00826CF3"/>
    <w:rsid w:val="008320D4"/>
    <w:rsid w:val="00833AD9"/>
    <w:rsid w:val="00847136"/>
    <w:rsid w:val="00851738"/>
    <w:rsid w:val="00851A9D"/>
    <w:rsid w:val="0085273F"/>
    <w:rsid w:val="008559F4"/>
    <w:rsid w:val="00862AD2"/>
    <w:rsid w:val="00866FED"/>
    <w:rsid w:val="008714DD"/>
    <w:rsid w:val="0087174A"/>
    <w:rsid w:val="00873EB9"/>
    <w:rsid w:val="00874B38"/>
    <w:rsid w:val="0087615D"/>
    <w:rsid w:val="008764DD"/>
    <w:rsid w:val="00877F7A"/>
    <w:rsid w:val="0088198E"/>
    <w:rsid w:val="0088319C"/>
    <w:rsid w:val="00883800"/>
    <w:rsid w:val="00885310"/>
    <w:rsid w:val="00886C65"/>
    <w:rsid w:val="00886F3E"/>
    <w:rsid w:val="00891DF5"/>
    <w:rsid w:val="00895DBC"/>
    <w:rsid w:val="008A0153"/>
    <w:rsid w:val="008A0F7B"/>
    <w:rsid w:val="008A3AAD"/>
    <w:rsid w:val="008A510C"/>
    <w:rsid w:val="008A5F09"/>
    <w:rsid w:val="008B0D9B"/>
    <w:rsid w:val="008B1C00"/>
    <w:rsid w:val="008B6BCD"/>
    <w:rsid w:val="008B76BA"/>
    <w:rsid w:val="008B7A45"/>
    <w:rsid w:val="008B7B8D"/>
    <w:rsid w:val="008C0EB8"/>
    <w:rsid w:val="008C1C46"/>
    <w:rsid w:val="008C3200"/>
    <w:rsid w:val="008D0CA2"/>
    <w:rsid w:val="008D2CE6"/>
    <w:rsid w:val="008D5487"/>
    <w:rsid w:val="008D6950"/>
    <w:rsid w:val="008E00D0"/>
    <w:rsid w:val="008E3F49"/>
    <w:rsid w:val="008E405A"/>
    <w:rsid w:val="008E6335"/>
    <w:rsid w:val="008E7872"/>
    <w:rsid w:val="008F00D6"/>
    <w:rsid w:val="008F1B77"/>
    <w:rsid w:val="008F470E"/>
    <w:rsid w:val="008F74F1"/>
    <w:rsid w:val="008F7A58"/>
    <w:rsid w:val="009007CB"/>
    <w:rsid w:val="0090100F"/>
    <w:rsid w:val="00902DBB"/>
    <w:rsid w:val="00902F38"/>
    <w:rsid w:val="0090494F"/>
    <w:rsid w:val="00906DE8"/>
    <w:rsid w:val="00910FAD"/>
    <w:rsid w:val="009114B8"/>
    <w:rsid w:val="00912868"/>
    <w:rsid w:val="00912FB1"/>
    <w:rsid w:val="00913D17"/>
    <w:rsid w:val="009148C5"/>
    <w:rsid w:val="0091579E"/>
    <w:rsid w:val="00916ECA"/>
    <w:rsid w:val="00916FE8"/>
    <w:rsid w:val="00922107"/>
    <w:rsid w:val="0092508A"/>
    <w:rsid w:val="00925E28"/>
    <w:rsid w:val="00927C0E"/>
    <w:rsid w:val="00930621"/>
    <w:rsid w:val="0093205E"/>
    <w:rsid w:val="0093237F"/>
    <w:rsid w:val="00933E11"/>
    <w:rsid w:val="00934AEB"/>
    <w:rsid w:val="00934CA9"/>
    <w:rsid w:val="00934E0C"/>
    <w:rsid w:val="00934F0D"/>
    <w:rsid w:val="0093682B"/>
    <w:rsid w:val="00940F2B"/>
    <w:rsid w:val="00941021"/>
    <w:rsid w:val="0094461A"/>
    <w:rsid w:val="00944B83"/>
    <w:rsid w:val="009562F2"/>
    <w:rsid w:val="0095697A"/>
    <w:rsid w:val="00963B3B"/>
    <w:rsid w:val="00964C8E"/>
    <w:rsid w:val="00975C09"/>
    <w:rsid w:val="00976F27"/>
    <w:rsid w:val="00986BA2"/>
    <w:rsid w:val="00994F71"/>
    <w:rsid w:val="009963AF"/>
    <w:rsid w:val="00997028"/>
    <w:rsid w:val="0099788F"/>
    <w:rsid w:val="00997F90"/>
    <w:rsid w:val="009B24C6"/>
    <w:rsid w:val="009B5999"/>
    <w:rsid w:val="009C028C"/>
    <w:rsid w:val="009C0415"/>
    <w:rsid w:val="009C2D62"/>
    <w:rsid w:val="009C3331"/>
    <w:rsid w:val="009C64DD"/>
    <w:rsid w:val="009D1082"/>
    <w:rsid w:val="009D22AE"/>
    <w:rsid w:val="009D397A"/>
    <w:rsid w:val="009D3D80"/>
    <w:rsid w:val="009D428E"/>
    <w:rsid w:val="009D62B5"/>
    <w:rsid w:val="009D6DE6"/>
    <w:rsid w:val="009D7722"/>
    <w:rsid w:val="009E18BA"/>
    <w:rsid w:val="009E4EBA"/>
    <w:rsid w:val="009E6902"/>
    <w:rsid w:val="009E72A2"/>
    <w:rsid w:val="009F0328"/>
    <w:rsid w:val="009F13D6"/>
    <w:rsid w:val="009F2390"/>
    <w:rsid w:val="009F38F4"/>
    <w:rsid w:val="009F5484"/>
    <w:rsid w:val="009F558A"/>
    <w:rsid w:val="009F5BE0"/>
    <w:rsid w:val="009F7804"/>
    <w:rsid w:val="00A018E7"/>
    <w:rsid w:val="00A03767"/>
    <w:rsid w:val="00A06752"/>
    <w:rsid w:val="00A10054"/>
    <w:rsid w:val="00A165B6"/>
    <w:rsid w:val="00A21683"/>
    <w:rsid w:val="00A24576"/>
    <w:rsid w:val="00A25C51"/>
    <w:rsid w:val="00A35BAE"/>
    <w:rsid w:val="00A36FA7"/>
    <w:rsid w:val="00A4278D"/>
    <w:rsid w:val="00A43783"/>
    <w:rsid w:val="00A452D2"/>
    <w:rsid w:val="00A47412"/>
    <w:rsid w:val="00A4783D"/>
    <w:rsid w:val="00A52D72"/>
    <w:rsid w:val="00A52E89"/>
    <w:rsid w:val="00A55B9A"/>
    <w:rsid w:val="00A6250F"/>
    <w:rsid w:val="00A76215"/>
    <w:rsid w:val="00A76B8F"/>
    <w:rsid w:val="00A8089B"/>
    <w:rsid w:val="00A80EE4"/>
    <w:rsid w:val="00A832F6"/>
    <w:rsid w:val="00A921F4"/>
    <w:rsid w:val="00A94865"/>
    <w:rsid w:val="00A974C0"/>
    <w:rsid w:val="00AA0B44"/>
    <w:rsid w:val="00AA1848"/>
    <w:rsid w:val="00AA34C1"/>
    <w:rsid w:val="00AA3F52"/>
    <w:rsid w:val="00AA6031"/>
    <w:rsid w:val="00AB036D"/>
    <w:rsid w:val="00AB2162"/>
    <w:rsid w:val="00AB2E0F"/>
    <w:rsid w:val="00AB32F0"/>
    <w:rsid w:val="00AB3443"/>
    <w:rsid w:val="00AB5057"/>
    <w:rsid w:val="00AB6F3C"/>
    <w:rsid w:val="00AB78D3"/>
    <w:rsid w:val="00AC0405"/>
    <w:rsid w:val="00AC3648"/>
    <w:rsid w:val="00AC59D8"/>
    <w:rsid w:val="00AC5F4E"/>
    <w:rsid w:val="00AD0C24"/>
    <w:rsid w:val="00AD17BF"/>
    <w:rsid w:val="00AD62FE"/>
    <w:rsid w:val="00AD6717"/>
    <w:rsid w:val="00AD687A"/>
    <w:rsid w:val="00AD6A21"/>
    <w:rsid w:val="00AE0062"/>
    <w:rsid w:val="00AE061E"/>
    <w:rsid w:val="00AE7A79"/>
    <w:rsid w:val="00AF1545"/>
    <w:rsid w:val="00AF1DBD"/>
    <w:rsid w:val="00AF2344"/>
    <w:rsid w:val="00AF25B6"/>
    <w:rsid w:val="00AF3D54"/>
    <w:rsid w:val="00AF6D98"/>
    <w:rsid w:val="00B003D4"/>
    <w:rsid w:val="00B00CAF"/>
    <w:rsid w:val="00B05322"/>
    <w:rsid w:val="00B074C5"/>
    <w:rsid w:val="00B1570B"/>
    <w:rsid w:val="00B16AC5"/>
    <w:rsid w:val="00B215B8"/>
    <w:rsid w:val="00B2212D"/>
    <w:rsid w:val="00B23920"/>
    <w:rsid w:val="00B23E83"/>
    <w:rsid w:val="00B24091"/>
    <w:rsid w:val="00B264FA"/>
    <w:rsid w:val="00B26692"/>
    <w:rsid w:val="00B3514A"/>
    <w:rsid w:val="00B35ED0"/>
    <w:rsid w:val="00B36B08"/>
    <w:rsid w:val="00B36E7C"/>
    <w:rsid w:val="00B41B2A"/>
    <w:rsid w:val="00B42C8F"/>
    <w:rsid w:val="00B474DD"/>
    <w:rsid w:val="00B50075"/>
    <w:rsid w:val="00B54538"/>
    <w:rsid w:val="00B6027A"/>
    <w:rsid w:val="00B60B5B"/>
    <w:rsid w:val="00B658FE"/>
    <w:rsid w:val="00B701E4"/>
    <w:rsid w:val="00B73B20"/>
    <w:rsid w:val="00B74DFC"/>
    <w:rsid w:val="00B75069"/>
    <w:rsid w:val="00B76522"/>
    <w:rsid w:val="00B7679B"/>
    <w:rsid w:val="00B844E1"/>
    <w:rsid w:val="00B90A04"/>
    <w:rsid w:val="00B92ED5"/>
    <w:rsid w:val="00B93F67"/>
    <w:rsid w:val="00B9519D"/>
    <w:rsid w:val="00B96D02"/>
    <w:rsid w:val="00B96DD9"/>
    <w:rsid w:val="00B97310"/>
    <w:rsid w:val="00BA4601"/>
    <w:rsid w:val="00BA4C24"/>
    <w:rsid w:val="00BA5BF9"/>
    <w:rsid w:val="00BA5DE0"/>
    <w:rsid w:val="00BA6698"/>
    <w:rsid w:val="00BA7A9B"/>
    <w:rsid w:val="00BB01E5"/>
    <w:rsid w:val="00BB048E"/>
    <w:rsid w:val="00BB0627"/>
    <w:rsid w:val="00BB2348"/>
    <w:rsid w:val="00BB61D3"/>
    <w:rsid w:val="00BC00D1"/>
    <w:rsid w:val="00BC6690"/>
    <w:rsid w:val="00BC6B66"/>
    <w:rsid w:val="00BD46B7"/>
    <w:rsid w:val="00BD6771"/>
    <w:rsid w:val="00BE1294"/>
    <w:rsid w:val="00BE40EE"/>
    <w:rsid w:val="00BE569B"/>
    <w:rsid w:val="00BF01CE"/>
    <w:rsid w:val="00BF134D"/>
    <w:rsid w:val="00BF19C1"/>
    <w:rsid w:val="00BF3895"/>
    <w:rsid w:val="00BF3908"/>
    <w:rsid w:val="00BF4E24"/>
    <w:rsid w:val="00C04245"/>
    <w:rsid w:val="00C0688C"/>
    <w:rsid w:val="00C06C0F"/>
    <w:rsid w:val="00C11C0B"/>
    <w:rsid w:val="00C13982"/>
    <w:rsid w:val="00C213FC"/>
    <w:rsid w:val="00C2212D"/>
    <w:rsid w:val="00C2240E"/>
    <w:rsid w:val="00C234E1"/>
    <w:rsid w:val="00C2373C"/>
    <w:rsid w:val="00C237AD"/>
    <w:rsid w:val="00C2702D"/>
    <w:rsid w:val="00C31088"/>
    <w:rsid w:val="00C410D3"/>
    <w:rsid w:val="00C41B9E"/>
    <w:rsid w:val="00C44670"/>
    <w:rsid w:val="00C4560F"/>
    <w:rsid w:val="00C466B3"/>
    <w:rsid w:val="00C47191"/>
    <w:rsid w:val="00C4794D"/>
    <w:rsid w:val="00C51A0D"/>
    <w:rsid w:val="00C5450A"/>
    <w:rsid w:val="00C60F0D"/>
    <w:rsid w:val="00C62D3D"/>
    <w:rsid w:val="00C63711"/>
    <w:rsid w:val="00C6453B"/>
    <w:rsid w:val="00C66382"/>
    <w:rsid w:val="00C704CC"/>
    <w:rsid w:val="00C71A68"/>
    <w:rsid w:val="00C724A9"/>
    <w:rsid w:val="00C73416"/>
    <w:rsid w:val="00C748EA"/>
    <w:rsid w:val="00C754A9"/>
    <w:rsid w:val="00C7713E"/>
    <w:rsid w:val="00C80FB7"/>
    <w:rsid w:val="00C84B26"/>
    <w:rsid w:val="00C87183"/>
    <w:rsid w:val="00C91974"/>
    <w:rsid w:val="00C92C8E"/>
    <w:rsid w:val="00C94583"/>
    <w:rsid w:val="00C9495D"/>
    <w:rsid w:val="00C9608E"/>
    <w:rsid w:val="00CA3D34"/>
    <w:rsid w:val="00CA4440"/>
    <w:rsid w:val="00CA63AD"/>
    <w:rsid w:val="00CA7761"/>
    <w:rsid w:val="00CB3633"/>
    <w:rsid w:val="00CB5A17"/>
    <w:rsid w:val="00CB7444"/>
    <w:rsid w:val="00CC1F6E"/>
    <w:rsid w:val="00CC3233"/>
    <w:rsid w:val="00CC46ED"/>
    <w:rsid w:val="00CC4FB7"/>
    <w:rsid w:val="00CC7761"/>
    <w:rsid w:val="00CE20CC"/>
    <w:rsid w:val="00CE5C08"/>
    <w:rsid w:val="00CE6E4F"/>
    <w:rsid w:val="00CE757F"/>
    <w:rsid w:val="00CF4237"/>
    <w:rsid w:val="00CF4361"/>
    <w:rsid w:val="00CF4E75"/>
    <w:rsid w:val="00CF7E11"/>
    <w:rsid w:val="00D00582"/>
    <w:rsid w:val="00D0120C"/>
    <w:rsid w:val="00D03DCE"/>
    <w:rsid w:val="00D03E76"/>
    <w:rsid w:val="00D047F6"/>
    <w:rsid w:val="00D049F0"/>
    <w:rsid w:val="00D1244C"/>
    <w:rsid w:val="00D1397F"/>
    <w:rsid w:val="00D155D8"/>
    <w:rsid w:val="00D16CF7"/>
    <w:rsid w:val="00D2109C"/>
    <w:rsid w:val="00D21EB0"/>
    <w:rsid w:val="00D23AE7"/>
    <w:rsid w:val="00D24315"/>
    <w:rsid w:val="00D2789C"/>
    <w:rsid w:val="00D3099F"/>
    <w:rsid w:val="00D31922"/>
    <w:rsid w:val="00D354E8"/>
    <w:rsid w:val="00D44B2C"/>
    <w:rsid w:val="00D460EE"/>
    <w:rsid w:val="00D50572"/>
    <w:rsid w:val="00D509E5"/>
    <w:rsid w:val="00D529E9"/>
    <w:rsid w:val="00D53563"/>
    <w:rsid w:val="00D56102"/>
    <w:rsid w:val="00D564AF"/>
    <w:rsid w:val="00D6061D"/>
    <w:rsid w:val="00D6123F"/>
    <w:rsid w:val="00D61922"/>
    <w:rsid w:val="00D6198F"/>
    <w:rsid w:val="00D623AC"/>
    <w:rsid w:val="00D65CE3"/>
    <w:rsid w:val="00D66F2E"/>
    <w:rsid w:val="00D67ED1"/>
    <w:rsid w:val="00D71C7D"/>
    <w:rsid w:val="00D73EAA"/>
    <w:rsid w:val="00D8158A"/>
    <w:rsid w:val="00D8685F"/>
    <w:rsid w:val="00D879DE"/>
    <w:rsid w:val="00D87B2E"/>
    <w:rsid w:val="00D947C0"/>
    <w:rsid w:val="00D958FA"/>
    <w:rsid w:val="00DA2F98"/>
    <w:rsid w:val="00DA3BB8"/>
    <w:rsid w:val="00DA5084"/>
    <w:rsid w:val="00DB6AAF"/>
    <w:rsid w:val="00DC0D09"/>
    <w:rsid w:val="00DC24E4"/>
    <w:rsid w:val="00DC55B0"/>
    <w:rsid w:val="00DC606B"/>
    <w:rsid w:val="00DC65CE"/>
    <w:rsid w:val="00DC7252"/>
    <w:rsid w:val="00DD36F0"/>
    <w:rsid w:val="00DD664D"/>
    <w:rsid w:val="00DD6B95"/>
    <w:rsid w:val="00DD7742"/>
    <w:rsid w:val="00DE4939"/>
    <w:rsid w:val="00DE7959"/>
    <w:rsid w:val="00DF1223"/>
    <w:rsid w:val="00DF2A60"/>
    <w:rsid w:val="00DF392D"/>
    <w:rsid w:val="00DF55EC"/>
    <w:rsid w:val="00DF79FB"/>
    <w:rsid w:val="00E01FA9"/>
    <w:rsid w:val="00E04DD8"/>
    <w:rsid w:val="00E06D7F"/>
    <w:rsid w:val="00E101F9"/>
    <w:rsid w:val="00E1145B"/>
    <w:rsid w:val="00E14EA4"/>
    <w:rsid w:val="00E15D43"/>
    <w:rsid w:val="00E17816"/>
    <w:rsid w:val="00E17841"/>
    <w:rsid w:val="00E20F6F"/>
    <w:rsid w:val="00E2350C"/>
    <w:rsid w:val="00E24BA0"/>
    <w:rsid w:val="00E259C5"/>
    <w:rsid w:val="00E25FB8"/>
    <w:rsid w:val="00E32E57"/>
    <w:rsid w:val="00E34B13"/>
    <w:rsid w:val="00E35FD8"/>
    <w:rsid w:val="00E41595"/>
    <w:rsid w:val="00E45600"/>
    <w:rsid w:val="00E5295D"/>
    <w:rsid w:val="00E56C54"/>
    <w:rsid w:val="00E57CCE"/>
    <w:rsid w:val="00E63C9A"/>
    <w:rsid w:val="00E71764"/>
    <w:rsid w:val="00E74008"/>
    <w:rsid w:val="00E8376B"/>
    <w:rsid w:val="00E84AA1"/>
    <w:rsid w:val="00E87677"/>
    <w:rsid w:val="00E92D3C"/>
    <w:rsid w:val="00EA12AF"/>
    <w:rsid w:val="00EA59FC"/>
    <w:rsid w:val="00EA7ED6"/>
    <w:rsid w:val="00EB028B"/>
    <w:rsid w:val="00EB03EB"/>
    <w:rsid w:val="00EB53AA"/>
    <w:rsid w:val="00EB5B10"/>
    <w:rsid w:val="00EB7574"/>
    <w:rsid w:val="00EB76A6"/>
    <w:rsid w:val="00EC09C9"/>
    <w:rsid w:val="00EC0C9D"/>
    <w:rsid w:val="00EC1F94"/>
    <w:rsid w:val="00EC58E2"/>
    <w:rsid w:val="00ED119D"/>
    <w:rsid w:val="00ED3A47"/>
    <w:rsid w:val="00ED4060"/>
    <w:rsid w:val="00ED6ECE"/>
    <w:rsid w:val="00ED76D4"/>
    <w:rsid w:val="00ED7BAE"/>
    <w:rsid w:val="00EE08A9"/>
    <w:rsid w:val="00EE412A"/>
    <w:rsid w:val="00EE788C"/>
    <w:rsid w:val="00EF2DB8"/>
    <w:rsid w:val="00EF41F5"/>
    <w:rsid w:val="00F00369"/>
    <w:rsid w:val="00F10858"/>
    <w:rsid w:val="00F1093F"/>
    <w:rsid w:val="00F10DD0"/>
    <w:rsid w:val="00F1256F"/>
    <w:rsid w:val="00F141C9"/>
    <w:rsid w:val="00F166ED"/>
    <w:rsid w:val="00F176D1"/>
    <w:rsid w:val="00F22E8C"/>
    <w:rsid w:val="00F23CDA"/>
    <w:rsid w:val="00F25845"/>
    <w:rsid w:val="00F27A7D"/>
    <w:rsid w:val="00F3104F"/>
    <w:rsid w:val="00F3386D"/>
    <w:rsid w:val="00F362F4"/>
    <w:rsid w:val="00F36485"/>
    <w:rsid w:val="00F403C3"/>
    <w:rsid w:val="00F40AF1"/>
    <w:rsid w:val="00F4156B"/>
    <w:rsid w:val="00F4523F"/>
    <w:rsid w:val="00F50553"/>
    <w:rsid w:val="00F511DF"/>
    <w:rsid w:val="00F51240"/>
    <w:rsid w:val="00F53752"/>
    <w:rsid w:val="00F539BE"/>
    <w:rsid w:val="00F53E62"/>
    <w:rsid w:val="00F54D0B"/>
    <w:rsid w:val="00F56D41"/>
    <w:rsid w:val="00F57488"/>
    <w:rsid w:val="00F61EB3"/>
    <w:rsid w:val="00F63642"/>
    <w:rsid w:val="00F6444E"/>
    <w:rsid w:val="00F647E5"/>
    <w:rsid w:val="00F66CF7"/>
    <w:rsid w:val="00F74B77"/>
    <w:rsid w:val="00F74C90"/>
    <w:rsid w:val="00F772ED"/>
    <w:rsid w:val="00F84553"/>
    <w:rsid w:val="00F86038"/>
    <w:rsid w:val="00F906C7"/>
    <w:rsid w:val="00F90771"/>
    <w:rsid w:val="00F9147F"/>
    <w:rsid w:val="00F93D85"/>
    <w:rsid w:val="00F96E1E"/>
    <w:rsid w:val="00FA016E"/>
    <w:rsid w:val="00FA1026"/>
    <w:rsid w:val="00FA1B31"/>
    <w:rsid w:val="00FA49E1"/>
    <w:rsid w:val="00FB0BD3"/>
    <w:rsid w:val="00FB3E1E"/>
    <w:rsid w:val="00FB678C"/>
    <w:rsid w:val="00FC1FE6"/>
    <w:rsid w:val="00FC2899"/>
    <w:rsid w:val="00FC62F9"/>
    <w:rsid w:val="00FC6CB8"/>
    <w:rsid w:val="00FD2BBC"/>
    <w:rsid w:val="00FD4910"/>
    <w:rsid w:val="00FD4CE9"/>
    <w:rsid w:val="00FD60C4"/>
    <w:rsid w:val="00FD6A2E"/>
    <w:rsid w:val="00FD719E"/>
    <w:rsid w:val="00FE064F"/>
    <w:rsid w:val="00FE1041"/>
    <w:rsid w:val="00FE15A3"/>
    <w:rsid w:val="00FE6A6F"/>
    <w:rsid w:val="00FF1228"/>
    <w:rsid w:val="00FF257D"/>
    <w:rsid w:val="00FF7671"/>
    <w:rsid w:val="00FF77DA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913D1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913D17"/>
    <w:rPr>
      <w:strike w:val="0"/>
      <w:dstrike w:val="0"/>
      <w:color w:val="174F82"/>
      <w:u w:val="none"/>
      <w:effect w:val="none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913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73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52542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a">
    <w:name w:val="Основной текст Знак"/>
    <w:basedOn w:val="a0"/>
    <w:link w:val="a9"/>
    <w:rsid w:val="005254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73B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3B2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73B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3B20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E04D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0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rmal (Web)"/>
    <w:basedOn w:val="a"/>
    <w:uiPriority w:val="99"/>
    <w:semiHidden/>
    <w:unhideWhenUsed/>
    <w:rsid w:val="00DD77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913D1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913D17"/>
    <w:rPr>
      <w:strike w:val="0"/>
      <w:dstrike w:val="0"/>
      <w:color w:val="174F82"/>
      <w:u w:val="none"/>
      <w:effect w:val="none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913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73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52542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a">
    <w:name w:val="Основной текст Знак"/>
    <w:basedOn w:val="a0"/>
    <w:link w:val="a9"/>
    <w:rsid w:val="005254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73B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3B2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73B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3B20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E04D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0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rmal (Web)"/>
    <w:basedOn w:val="a"/>
    <w:uiPriority w:val="99"/>
    <w:semiHidden/>
    <w:unhideWhenUsed/>
    <w:rsid w:val="00DD77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65424F902132541F25477623C28C1011BE938F44C284BB30A3E2021FD45170AB35B9C280F4821821Z5L" TargetMode="External"/><Relationship Id="rId17" Type="http://schemas.openxmlformats.org/officeDocument/2006/relationships/chart" Target="charts/chart4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consultantplus://offline/ref=52CB694F55DB8B12A6255E6FE56CE3696110D1C976FEC3A146027DA9B830x7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03261F2A08C12CACA16B596F20E42DEBA6266DF590106ECE9D6A592D765EF0E75F4524456BAC0EkAQAF" TargetMode="External"/><Relationship Id="rId24" Type="http://schemas.openxmlformats.org/officeDocument/2006/relationships/chart" Target="charts/chart10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10" Type="http://schemas.openxmlformats.org/officeDocument/2006/relationships/hyperlink" Target="consultantplus://offline/ref=AA03261F2A08C12CACA16B596F20E42DEBA6266DF590106ECE9D6A592D765EF0E75F4524456BAC09kAQ8F" TargetMode="External"/><Relationship Id="rId19" Type="http://schemas.openxmlformats.org/officeDocument/2006/relationships/chart" Target="charts/chart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9380CF9CA638AACD3D104C4D935D4BE697E8C89453BE15F3AC97E7566168CA601378431E3B35252EMFXFE" TargetMode="Externa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10.122.2.250\&#1076;&#1075;&#1079;&#1089;&#1086;\&#1054;&#1090;&#1076;&#1077;&#1083;%20&#1088;&#1077;&#1075;&#1091;&#1083;&#1080;&#1088;&#1086;&#1074;&#1072;&#1085;&#1080;&#1103;%20&#1074;%20&#1089;&#1092;&#1077;&#1088;&#1077;%20&#1079;&#1072;&#1082;&#1091;&#1087;&#1086;&#1082;\&#1054;&#1090;&#1095;&#1077;&#1090;&#1099;\2018\2%20&#1082;&#1074;\&#1054;&#1090;&#1095;&#1077;&#1090;%20&#1087;&#1086;%20&#1086;&#1090;&#1076;&#1077;&#1083;&#1091;%20&#1077;&#1078;&#1077;&#1084;&#1077;&#1089;\&#1054;%20&#1087;&#1088;&#1077;&#1076;&#1086;&#1089;&#1090;&#1072;&#1074;&#1083;&#1077;&#1085;&#1080;&#1080;%20&#1080;&#1085;&#1092;&#1086;&#1088;&#1084;&#1072;&#1094;&#1080;&#1080;%20&#1079;&#1072;%206%20&#1084;&#1077;&#1089;.%202018%20&#1075;&#1086;&#1076;&#1072;.xlsx" TargetMode="External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0.122.2.250\&#1076;&#1075;&#1079;&#1089;&#1086;\&#1054;&#1090;&#1076;&#1077;&#1083;%20&#1088;&#1077;&#1075;&#1091;&#1083;&#1080;&#1088;&#1086;&#1074;&#1072;&#1085;&#1080;&#1103;%20&#1074;%20&#1089;&#1092;&#1077;&#1088;&#1077;%20&#1079;&#1072;&#1082;&#1091;&#1087;&#1086;&#1082;\&#1054;&#1090;&#1095;&#1077;&#1090;&#1099;\2018\2%20&#1082;&#1074;\&#1054;&#1090;&#1095;&#1077;&#1090;%20&#1087;&#1086;%20&#1086;&#1090;&#1076;&#1077;&#1083;&#1091;%20&#1077;&#1078;&#1077;&#1084;&#1077;&#1089;\&#1054;%20&#1087;&#1088;&#1077;&#1076;&#1086;&#1089;&#1090;&#1072;&#1074;&#1083;&#1077;&#1085;&#1080;&#1080;%20&#1080;&#1085;&#1092;&#1086;&#1088;&#1084;&#1072;&#1094;&#1080;&#1080;%20&#1079;&#1072;%206%20&#1084;&#1077;&#1089;.%202018%20&#1075;&#1086;&#1076;&#1072;.xlsx" TargetMode="External"/><Relationship Id="rId1" Type="http://schemas.openxmlformats.org/officeDocument/2006/relationships/themeOverride" Target="../theme/themeOverride4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0.122.2.250\&#1076;&#1075;&#1079;&#1089;&#1086;\&#1054;&#1090;&#1076;&#1077;&#1083;%20&#1088;&#1077;&#1075;&#1091;&#1083;&#1080;&#1088;&#1086;&#1074;&#1072;&#1085;&#1080;&#1103;%20&#1074;%20&#1089;&#1092;&#1077;&#1088;&#1077;%20&#1079;&#1072;&#1082;&#1091;&#1087;&#1086;&#1082;\&#1054;&#1090;&#1095;&#1077;&#1090;&#1099;\2018\2%20&#1082;&#1074;\&#1054;&#1090;&#1095;&#1077;&#1090;%20&#1087;&#1086;%20&#1086;&#1090;&#1076;&#1077;&#1083;&#1091;%20&#1077;&#1078;&#1077;&#1084;&#1077;&#1089;\&#1054;%20&#1087;&#1088;&#1077;&#1076;&#1086;&#1089;&#1090;&#1072;&#1074;&#1083;&#1077;&#1085;&#1080;&#1080;%20&#1080;&#1085;&#1092;&#1086;&#1088;&#1084;&#1072;&#1094;&#1080;&#1080;%20&#1079;&#1072;%206%20&#1084;&#1077;&#1089;.%202018%20&#1075;&#1086;&#1076;&#1072;.xlsx" TargetMode="External"/><Relationship Id="rId1" Type="http://schemas.openxmlformats.org/officeDocument/2006/relationships/themeOverride" Target="../theme/themeOverride5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0.122.2.250\&#1076;&#1075;&#1079;&#1089;&#1086;\&#1054;&#1090;&#1076;&#1077;&#1083;%20&#1088;&#1077;&#1075;&#1091;&#1083;&#1080;&#1088;&#1086;&#1074;&#1072;&#1085;&#1080;&#1103;%20&#1074;%20&#1089;&#1092;&#1077;&#1088;&#1077;%20&#1079;&#1072;&#1082;&#1091;&#1087;&#1086;&#1082;\&#1054;&#1090;&#1095;&#1077;&#1090;&#1099;\2018\2%20&#1082;&#1074;\&#1054;&#1090;&#1095;&#1077;&#1090;%20&#1087;&#1086;%20&#1086;&#1090;&#1076;&#1077;&#1083;&#1091;%20&#1077;&#1078;&#1077;&#1084;&#1077;&#1089;\&#1054;%20&#1087;&#1088;&#1077;&#1076;&#1086;&#1089;&#1090;&#1072;&#1074;&#1083;&#1077;&#1085;&#1080;&#1080;%20&#1080;&#1085;&#1092;&#1086;&#1088;&#1084;&#1072;&#1094;&#1080;&#1080;%20&#1079;&#1072;%206%20&#1084;&#1077;&#1089;.%202018%20&#1075;&#1086;&#1076;&#1072;.xlsx" TargetMode="External"/><Relationship Id="rId1" Type="http://schemas.openxmlformats.org/officeDocument/2006/relationships/themeOverride" Target="../theme/themeOverride6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\\10.122.2.250\&#1076;&#1075;&#1079;&#1089;&#1086;\&#1054;&#1090;&#1076;&#1077;&#1083;%20&#1088;&#1077;&#1075;&#1091;&#1083;&#1080;&#1088;&#1086;&#1074;&#1072;&#1085;&#1080;&#1103;%20&#1074;%20&#1089;&#1092;&#1077;&#1088;&#1077;%20&#1079;&#1072;&#1082;&#1091;&#1087;&#1086;&#1082;\&#1054;&#1090;&#1095;&#1077;&#1090;&#1099;\2018\2%20&#1082;&#1074;\&#1054;&#1090;&#1095;&#1077;&#1090;%20&#1087;&#1086;%20&#1086;&#1090;&#1076;&#1077;&#1083;&#1091;%20&#1077;&#1078;&#1077;&#1084;&#1077;&#1089;\&#1054;%20&#1087;&#1088;&#1077;&#1076;&#1086;&#1089;&#1090;&#1072;&#1074;&#1083;&#1077;&#1085;&#1080;&#1080;%20&#1080;&#1085;&#1092;&#1086;&#1088;&#1084;&#1072;&#1094;&#1080;&#1080;%20&#1079;&#1072;%206%20&#1084;&#1077;&#1089;.%202018%20&#1075;&#1086;&#1076;&#1072;.xlsx" TargetMode="External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Documents\Documents\Documents\&#1052;&#1086;&#1085;&#1080;&#1090;&#1086;&#1088;&#1080;&#1085;&#1075;%20&#1087;&#1086;%20&#1087;&#1086;&#1089;&#1090;&#1072;&#1085;&#1086;&#1074;&#1083;&#1077;&#1085;&#1080;&#1102;\&#1079;&#1072;%201%20&#1087;&#1086;&#1083;&#1091;&#1075;&#1086;&#1076;&#1080;&#1077;%202018%20&#1075;&#1086;&#1076;&#1072;\&#1058;&#1054;&#1055;%2010%20&#1087;&#1086;%20&#1053;&#1052;&#1062;&#105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10.122.2.250\&#1076;&#1075;&#1079;&#1089;&#1086;\&#1054;&#1090;&#1076;&#1077;&#1083;%20&#1088;&#1077;&#1075;&#1091;&#1083;&#1080;&#1088;&#1086;&#1074;&#1072;&#1085;&#1080;&#1103;%20&#1074;%20&#1089;&#1092;&#1077;&#1088;&#1077;%20&#1079;&#1072;&#1082;&#1091;&#1087;&#1086;&#1082;\&#1054;&#1090;&#1095;&#1077;&#1090;&#1099;\2018\2%20&#1082;&#1074;\&#1054;&#1090;&#1095;&#1077;&#1090;%20&#1087;&#1086;%20&#1086;&#1090;&#1076;&#1077;&#1083;&#1091;%20&#1077;&#1078;&#1077;&#1084;&#1077;&#1089;\&#1054;%20&#1087;&#1088;&#1077;&#1076;&#1086;&#1089;&#1090;&#1072;&#1074;&#1083;&#1077;&#1085;&#1080;&#1080;%20&#1080;&#1085;&#1092;&#1086;&#1088;&#1084;&#1072;&#1094;&#1080;&#1080;%20&#1079;&#1072;%206%20&#1084;&#1077;&#1089;.%202018%20&#1075;&#1086;&#1076;&#1072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247249767650628"/>
          <c:y val="0.44266815988177433"/>
          <c:w val="0.34130045568842987"/>
          <c:h val="0.4723157919043110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для внесения изменений в план-график</c:v>
                </c:pt>
              </c:strCache>
            </c:strRef>
          </c:tx>
          <c:dPt>
            <c:idx val="0"/>
            <c:bubble3D val="0"/>
            <c:explosion val="27"/>
          </c:dPt>
          <c:dPt>
            <c:idx val="2"/>
            <c:bubble3D val="0"/>
            <c:explosion val="28"/>
          </c:dPt>
          <c:dPt>
            <c:idx val="3"/>
            <c:bubble3D val="0"/>
            <c:explosion val="27"/>
          </c:dPt>
          <c:dPt>
            <c:idx val="4"/>
            <c:bubble3D val="0"/>
            <c:explosion val="30"/>
          </c:dPt>
          <c:dLbls>
            <c:dLbl>
              <c:idx val="0"/>
              <c:layout>
                <c:manualLayout>
                  <c:x val="-1.6091257823541288E-2"/>
                  <c:y val="-0.35232005269643585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возникновение обстоятельств, предвидеть которые на дату утверждения плана-графика закупок было невозможно
50%</a:t>
                    </a:r>
                    <a:endParaRPr lang="ru-RU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2124133521771315E-2"/>
                  <c:y val="-2.1932658532398679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образовавшаяся экономия от использования в текущем финансовом году бюджетных ассигнований
27%</a:t>
                    </a:r>
                    <a:endParaRPr lang="ru-RU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869338448078605"/>
                  <c:y val="0.10626956404026476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изменение планируемой даты начала осуществления закупки, сроков 
10%</a:t>
                    </a:r>
                    <a:endParaRPr lang="ru-RU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4184046119480582"/>
                  <c:y val="3.625271333115212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изменение объема и (или) стоимости планируемых к приобретению товаров, работ, услуг
9%</a:t>
                    </a:r>
                    <a:endParaRPr lang="ru-RU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4312462417468591"/>
                  <c:y val="-0.1076816970762175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иные случаи
4%</a:t>
                    </a:r>
                    <a:endParaRPr lang="ru-RU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3.6712093680597614E-2"/>
                  <c:y val="-0.1825339760569631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выдача предписания органами контроля
0,1%</a:t>
                    </a:r>
                    <a:endParaRPr lang="ru-RU"/>
                  </a:p>
                </c:rich>
              </c:tx>
              <c:numFmt formatCode="General" sourceLinked="0"/>
              <c:spPr/>
              <c:showLegendKey val="1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возникновение обстоятельств, предвидеть которые на дату утверждения плана-графика закупок было невозможно</c:v>
                </c:pt>
                <c:pt idx="1">
                  <c:v>образовавшаяся экономия от использования в текущем финансовом году бюджетных ассигнований</c:v>
                </c:pt>
                <c:pt idx="2">
                  <c:v>изменение планируемой даты начала осуществления закупки, сроков </c:v>
                </c:pt>
                <c:pt idx="3">
                  <c:v>изменение объема и (или) стоимости планируемых к приобретению товаров, работ, услуг</c:v>
                </c:pt>
                <c:pt idx="4">
                  <c:v>иные случаи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9045</c:v>
                </c:pt>
                <c:pt idx="1">
                  <c:v>4819</c:v>
                </c:pt>
                <c:pt idx="2">
                  <c:v>1785</c:v>
                </c:pt>
                <c:pt idx="3">
                  <c:v>1614</c:v>
                </c:pt>
                <c:pt idx="4">
                  <c:v>695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Поступившие в Департамент заявки на определение поставщиков</a:t>
            </a:r>
            <a:b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 (подрядчиков, исполнителей) (Н(М)ЦК, млн. руб.)</a:t>
            </a:r>
          </a:p>
        </c:rich>
      </c:tx>
      <c:overlay val="0"/>
    </c:title>
    <c:autoTitleDeleted val="0"/>
    <c:view3D>
      <c:rotX val="30"/>
      <c:rotY val="2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684600094444258E-4"/>
          <c:y val="0.25054703591820415"/>
          <c:w val="0.5805555555555556"/>
          <c:h val="0.65300925925925923"/>
        </c:manualLayout>
      </c:layout>
      <c:pie3DChart>
        <c:varyColors val="1"/>
        <c:ser>
          <c:idx val="0"/>
          <c:order val="0"/>
          <c:tx>
            <c:strRef>
              <c:f>'[О предоставлении информации за 6 мес. 2018 года.xlsx]Блок 1'!$D$4</c:f>
              <c:strCache>
                <c:ptCount val="1"/>
                <c:pt idx="0">
                  <c:v>Стоимостные показатели
(млн. рублей)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  <a:bevelB/>
            </a:sp3d>
          </c:spPr>
          <c:explosion val="25"/>
          <c:dPt>
            <c:idx val="0"/>
            <c:bubble3D val="0"/>
            <c:explosion val="4"/>
          </c:dPt>
          <c:dPt>
            <c:idx val="1"/>
            <c:bubble3D val="0"/>
            <c:explosion val="26"/>
          </c:dPt>
          <c:dPt>
            <c:idx val="4"/>
            <c:bubble3D val="0"/>
            <c:explosion val="5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</c:dPt>
          <c:dLbls>
            <c:dLbl>
              <c:idx val="0"/>
              <c:layout>
                <c:manualLayout>
                  <c:x val="-4.5544710810870088E-2"/>
                  <c:y val="-4.1537280764092299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0.10758412553552127"/>
                  <c:y val="4.4142575994636453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2.9504529204044481E-3"/>
                  <c:y val="-5.7251580014592039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0.15960417900408691"/>
                  <c:y val="-4.7698911282299103E-3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6.3196835771573117E-4"/>
                  <c:y val="-3.1992571325696203E-3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</c:dLbls>
          <c:cat>
            <c:multiLvlStrRef>
              <c:f>'[О предоставлении информации за 6 мес. 2018 года.xlsx]Блок 1'!$A$8:$B$12</c:f>
              <c:multiLvlStrCache>
                <c:ptCount val="5"/>
                <c:lvl>
                  <c:pt idx="0">
                    <c:v>заявки с Н(М)ЦК менее пяти миллионов рублей (без учета совместных закупок, закупок муниципальных заказчиков и ГУПов СО)</c:v>
                  </c:pt>
                  <c:pt idx="1">
                    <c:v>заявки с Н(М)ЦК пять миллионов рублей и более (без учета совместных закупок, закупок муниципальных заказчиков и ГУПов СО)</c:v>
                  </c:pt>
                  <c:pt idx="2">
                    <c:v>заявки на проведение совместных закупок</c:v>
                  </c:pt>
                  <c:pt idx="3">
                    <c:v>заявки от муниципальных заказчиков Свердловской области</c:v>
                  </c:pt>
                  <c:pt idx="4">
                    <c:v>заявки от ГУП Свердловской области</c:v>
                  </c:pt>
                </c:lvl>
                <c:lvl>
                  <c:pt idx="0">
                    <c:v>1.1.</c:v>
                  </c:pt>
                  <c:pt idx="1">
                    <c:v>1.2.</c:v>
                  </c:pt>
                  <c:pt idx="2">
                    <c:v>1.3.</c:v>
                  </c:pt>
                  <c:pt idx="3">
                    <c:v>1.4.</c:v>
                  </c:pt>
                  <c:pt idx="4">
                    <c:v>1.5.</c:v>
                  </c:pt>
                </c:lvl>
              </c:multiLvlStrCache>
            </c:multiLvlStrRef>
          </c:cat>
          <c:val>
            <c:numRef>
              <c:f>'[О предоставлении информации за 6 мес. 2018 года.xlsx]Блок 1'!$D$8:$D$12</c:f>
              <c:numCache>
                <c:formatCode>#,##0.00\ "₽"</c:formatCode>
                <c:ptCount val="5"/>
                <c:pt idx="0">
                  <c:v>2326.75</c:v>
                </c:pt>
                <c:pt idx="1">
                  <c:v>16410.88</c:v>
                </c:pt>
                <c:pt idx="2">
                  <c:v>4345.66</c:v>
                </c:pt>
                <c:pt idx="3">
                  <c:v>3546.78</c:v>
                </c:pt>
                <c:pt idx="4">
                  <c:v>49.2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4849524268914884"/>
          <c:y val="0.2077584164795285"/>
          <c:w val="0.38648918420513423"/>
          <c:h val="0.76546992997716434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Закупки, опубликованные на официальном сайте ЕИС (кол-во, шт.)</a:t>
            </a:r>
          </a:p>
        </c:rich>
      </c:tx>
      <c:layout>
        <c:manualLayout>
          <c:xMode val="edge"/>
          <c:yMode val="edge"/>
          <c:x val="0.10902071563088513"/>
          <c:y val="3.0188679245283019E-2"/>
        </c:manualLayout>
      </c:layout>
      <c:overlay val="0"/>
    </c:title>
    <c:autoTitleDeleted val="0"/>
    <c:view3D>
      <c:rotX val="30"/>
      <c:rotY val="1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175734889678874E-2"/>
          <c:y val="0.35628451736012107"/>
          <c:w val="0.50741914644635666"/>
          <c:h val="0.57130085758778748"/>
        </c:manualLayout>
      </c:layout>
      <c:pie3DChart>
        <c:varyColors val="1"/>
        <c:ser>
          <c:idx val="0"/>
          <c:order val="0"/>
          <c:tx>
            <c:strRef>
              <c:f>'[О предоставлении информации за 6 мес. 2018 года.xlsx]Блок 1'!$C$4</c:f>
              <c:strCache>
                <c:ptCount val="1"/>
                <c:pt idx="0">
                  <c:v>Количественные показатели
(шт.)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  <a:bevelB/>
            </a:sp3d>
          </c:spPr>
          <c:explosion val="15"/>
          <c:dPt>
            <c:idx val="0"/>
            <c:bubble3D val="0"/>
          </c:dPt>
          <c:dPt>
            <c:idx val="1"/>
            <c:bubble3D val="0"/>
            <c:explosion val="8"/>
          </c:dPt>
          <c:dPt>
            <c:idx val="5"/>
            <c:bubble3D val="0"/>
            <c:explosion val="28"/>
          </c:dPt>
          <c:dLbls>
            <c:dLbl>
              <c:idx val="0"/>
              <c:layout>
                <c:manualLayout>
                  <c:x val="2.055029638149164E-2"/>
                  <c:y val="-7.9782132496595826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3.8852675061186975E-2"/>
                  <c:y val="-0.227094802564721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3.3942212919587586E-2"/>
                  <c:y val="-0.12378040488671506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2.9668021455124018E-2"/>
                  <c:y val="-2.5660079398153225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1.0141907748996556E-3"/>
                  <c:y val="-5.6835000888046886E-5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-8.9166026948581292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numFmt formatCode="0.0%" sourceLinked="0"/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</c:dLbls>
          <c:cat>
            <c:multiLvlStrRef>
              <c:f>'[О предоставлении информации за 6 мес. 2018 года.xlsx]Блок 1'!$A$23:$B$28</c:f>
              <c:multiLvlStrCache>
                <c:ptCount val="6"/>
                <c:lvl>
                  <c:pt idx="0">
                    <c:v>закупки с Н(М)ЦК менее пяти миллионов рублей (без учета совместных закупок, закупок муниципальных заказчиков и ГУПов СО, отмененных закупок)</c:v>
                  </c:pt>
                  <c:pt idx="1">
                    <c:v>закупки с Н(М)ЦК пять миллионов рублей и более (без учета совместных закупок, закупок муниципальных заказчиков и ГУПов СО, отмененных закупок)</c:v>
                  </c:pt>
                  <c:pt idx="2">
                    <c:v>совместные закупки (лоты)</c:v>
                  </c:pt>
                  <c:pt idx="3">
                    <c:v>заявки от мунициапальных заказчиков Свердловской области</c:v>
                  </c:pt>
                  <c:pt idx="4">
                    <c:v>заявки от ГУП Свердловской области</c:v>
                  </c:pt>
                  <c:pt idx="5">
                    <c:v>отмененные заявки</c:v>
                  </c:pt>
                </c:lvl>
                <c:lvl>
                  <c:pt idx="0">
                    <c:v>4.1.</c:v>
                  </c:pt>
                  <c:pt idx="1">
                    <c:v>4.2.</c:v>
                  </c:pt>
                  <c:pt idx="2">
                    <c:v>4.3.</c:v>
                  </c:pt>
                  <c:pt idx="3">
                    <c:v>4.4.</c:v>
                  </c:pt>
                  <c:pt idx="4">
                    <c:v>4.5.</c:v>
                  </c:pt>
                  <c:pt idx="5">
                    <c:v>4.6.</c:v>
                  </c:pt>
                </c:lvl>
              </c:multiLvlStrCache>
            </c:multiLvlStrRef>
          </c:cat>
          <c:val>
            <c:numRef>
              <c:f>'[О предоставлении информации за 6 мес. 2018 года.xlsx]Блок 1'!$C$23:$C$28</c:f>
              <c:numCache>
                <c:formatCode>#,##0</c:formatCode>
                <c:ptCount val="6"/>
                <c:pt idx="0">
                  <c:v>908</c:v>
                </c:pt>
                <c:pt idx="1">
                  <c:v>233</c:v>
                </c:pt>
                <c:pt idx="2">
                  <c:v>3</c:v>
                </c:pt>
                <c:pt idx="3">
                  <c:v>30</c:v>
                </c:pt>
                <c:pt idx="4">
                  <c:v>16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5524605385329617"/>
          <c:y val="0.22266650879166419"/>
          <c:w val="0.43361188486536678"/>
          <c:h val="0.763188285674817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Закупки, опубликованные на официальном сайте </a:t>
            </a:r>
            <a:r>
              <a:rPr lang="ru-RU" sz="1200" b="1" i="0" u="none" strike="noStrike" baseline="0">
                <a:effectLst/>
              </a:rPr>
              <a:t>ЕИС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 (</a:t>
            </a:r>
            <a:r>
              <a:rPr lang="ru-RU" sz="1200" b="1" i="0" u="none" strike="noStrike" baseline="0">
                <a:effectLst/>
              </a:rPr>
              <a:t>Н(М)ЦК, млн. руб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</a:p>
        </c:rich>
      </c:tx>
      <c:overlay val="0"/>
    </c:title>
    <c:autoTitleDeleted val="0"/>
    <c:view3D>
      <c:rotX val="3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890441481633352E-2"/>
          <c:y val="0.21582371915593979"/>
          <c:w val="0.49015454167802025"/>
          <c:h val="0.5534431637441829"/>
        </c:manualLayout>
      </c:layout>
      <c:pie3DChart>
        <c:varyColors val="1"/>
        <c:ser>
          <c:idx val="0"/>
          <c:order val="0"/>
          <c:tx>
            <c:strRef>
              <c:f>'[О предоставлении информации за 6 мес. 2018 года.xlsx]Блок 1'!$D$4</c:f>
              <c:strCache>
                <c:ptCount val="1"/>
                <c:pt idx="0">
                  <c:v>Стоимостные показатели
(млн. рублей)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  <a:bevelB/>
            </a:sp3d>
          </c:spPr>
          <c:explosion val="21"/>
          <c:dPt>
            <c:idx val="0"/>
            <c:bubble3D val="0"/>
            <c:explosion val="2"/>
          </c:dPt>
          <c:dPt>
            <c:idx val="1"/>
            <c:bubble3D val="0"/>
            <c:explosion val="22"/>
          </c:dPt>
          <c:dPt>
            <c:idx val="2"/>
            <c:bubble3D val="0"/>
            <c:explosion val="0"/>
          </c:dPt>
          <c:dPt>
            <c:idx val="4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</c:dPt>
          <c:dLbls>
            <c:dLbl>
              <c:idx val="0"/>
              <c:layout>
                <c:manualLayout>
                  <c:x val="-0.14928037198692784"/>
                  <c:y val="-1.9253910950661854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1.5922181036562646E-2"/>
                  <c:y val="-4.0463155102002143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2.3392019817747502E-2"/>
                  <c:y val="-6.2065057752257499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1.0360295872106896E-2"/>
                  <c:y val="-2.0330809449452109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8.7903698667193067E-2"/>
                  <c:y val="-4.4041426229663529E-4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1.9313491106090847E-2"/>
                  <c:y val="-1.1600860361768859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numFmt formatCode="0.0%" sourceLinked="0"/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</c:dLbls>
          <c:cat>
            <c:multiLvlStrRef>
              <c:f>'[О предоставлении информации за 6 мес. 2018 года.xlsx]Блок 1'!$A$23:$B$28</c:f>
              <c:multiLvlStrCache>
                <c:ptCount val="6"/>
                <c:lvl>
                  <c:pt idx="0">
                    <c:v>закупки с Н(М)ЦК менее пяти миллионов рублей (без учета совместных закупок, закупок муниципальных заказчиков и ГУПов СО, отмененных закупок)</c:v>
                  </c:pt>
                  <c:pt idx="1">
                    <c:v>закупки с Н(М)ЦК пять миллионов рублей и более (без учета совместных закупок, закупок муниципальных заказчиков и ГУПов СО, отмененных закупок)</c:v>
                  </c:pt>
                  <c:pt idx="2">
                    <c:v>совместные закупки (лоты)</c:v>
                  </c:pt>
                  <c:pt idx="3">
                    <c:v>заявки от мунициапальных заказчиков Свердловской области</c:v>
                  </c:pt>
                  <c:pt idx="4">
                    <c:v>заявки от ГУП Свердловской области</c:v>
                  </c:pt>
                  <c:pt idx="5">
                    <c:v>отмененные заявки</c:v>
                  </c:pt>
                </c:lvl>
                <c:lvl>
                  <c:pt idx="0">
                    <c:v>4.1.</c:v>
                  </c:pt>
                  <c:pt idx="1">
                    <c:v>4.2.</c:v>
                  </c:pt>
                  <c:pt idx="2">
                    <c:v>4.3.</c:v>
                  </c:pt>
                  <c:pt idx="3">
                    <c:v>4.4.</c:v>
                  </c:pt>
                  <c:pt idx="4">
                    <c:v>4.5.</c:v>
                  </c:pt>
                  <c:pt idx="5">
                    <c:v>4.6.</c:v>
                  </c:pt>
                </c:lvl>
              </c:multiLvlStrCache>
            </c:multiLvlStrRef>
          </c:cat>
          <c:val>
            <c:numRef>
              <c:f>'[О предоставлении информации за 6 мес. 2018 года.xlsx]Блок 1'!$D$23:$D$28</c:f>
              <c:numCache>
                <c:formatCode>#,##0.00\ "₽"</c:formatCode>
                <c:ptCount val="6"/>
                <c:pt idx="0">
                  <c:v>2242.14</c:v>
                </c:pt>
                <c:pt idx="1">
                  <c:v>11027.68</c:v>
                </c:pt>
                <c:pt idx="2">
                  <c:v>4345.66</c:v>
                </c:pt>
                <c:pt idx="3">
                  <c:v>3274.28</c:v>
                </c:pt>
                <c:pt idx="4">
                  <c:v>49.2</c:v>
                </c:pt>
                <c:pt idx="5">
                  <c:v>384.7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8808596850536077"/>
          <c:y val="0.22608146905824497"/>
          <c:w val="0.40076012208107636"/>
          <c:h val="0.76251778996939457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Завершенные процедуры, опубликованные на официальном сайте </a:t>
            </a:r>
            <a:b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200" b="1" i="0" u="none" strike="noStrike" baseline="0">
                <a:effectLst/>
              </a:rPr>
              <a:t>ЕИС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(кол-во, шт.)</a:t>
            </a:r>
          </a:p>
        </c:rich>
      </c:tx>
      <c:layout>
        <c:manualLayout>
          <c:xMode val="edge"/>
          <c:yMode val="edge"/>
          <c:x val="0.10902071563088513"/>
          <c:y val="3.018867924528301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7222271373381697E-2"/>
          <c:y val="0.32036153375564896"/>
          <c:w val="0.5805555555555556"/>
          <c:h val="0.65300925925925923"/>
        </c:manualLayout>
      </c:layout>
      <c:ofPieChart>
        <c:ofPieType val="bar"/>
        <c:varyColors val="1"/>
        <c:ser>
          <c:idx val="0"/>
          <c:order val="0"/>
          <c:tx>
            <c:strRef>
              <c:f>'[О предоставлении информации за 6 мес. 2018 года.xlsx]Блок 1'!$C$4</c:f>
              <c:strCache>
                <c:ptCount val="1"/>
                <c:pt idx="0">
                  <c:v>Количественные показатели
(шт.)</c:v>
                </c:pt>
              </c:strCache>
            </c:strRef>
          </c:tx>
          <c:explosion val="21"/>
          <c:dLbls>
            <c:dLbl>
              <c:idx val="0"/>
              <c:layout>
                <c:manualLayout>
                  <c:x val="3.4322598720103806E-2"/>
                  <c:y val="-0.27527085430110709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2.7082017290211615E-2"/>
                  <c:y val="-4.7057098994701133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8.1426759857265042E-3"/>
                  <c:y val="4.756497543070274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8.9790321153675329E-3"/>
                  <c:y val="1.2477256132457128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8.8110163109834078E-2"/>
                  <c:y val="-0.34987350265427347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</c:dLbls>
          <c:cat>
            <c:multiLvlStrRef>
              <c:f>'[О предоставлении информации за 6 мес. 2018 года.xlsx]Блок 1'!$A$32:$B$35</c:f>
              <c:multiLvlStrCache>
                <c:ptCount val="4"/>
                <c:lvl>
                  <c:pt idx="0">
                    <c:v>состоявшихся процедур</c:v>
                  </c:pt>
                  <c:pt idx="2">
                    <c:v>несостоявшихся процедур 
(подана 1 заявка или 1 заявка признана соответствующей)</c:v>
                  </c:pt>
                  <c:pt idx="3">
                    <c:v>несостоявшихся процедур 
(0 заявок или все заявки признаны несоответствующими)</c:v>
                  </c:pt>
                </c:lvl>
                <c:lvl>
                  <c:pt idx="0">
                    <c:v>5.1.</c:v>
                  </c:pt>
                  <c:pt idx="2">
                    <c:v>5.2.</c:v>
                  </c:pt>
                  <c:pt idx="3">
                    <c:v>5.3.</c:v>
                  </c:pt>
                </c:lvl>
              </c:multiLvlStrCache>
            </c:multiLvlStrRef>
          </c:cat>
          <c:val>
            <c:numRef>
              <c:f>'[О предоставлении информации за 6 мес. 2018 года.xlsx]Блок 1'!$C$32:$C$35</c:f>
              <c:numCache>
                <c:formatCode>General</c:formatCode>
                <c:ptCount val="4"/>
                <c:pt idx="0" formatCode="#,##0">
                  <c:v>444</c:v>
                </c:pt>
                <c:pt idx="2" formatCode="#,##0">
                  <c:v>520</c:v>
                </c:pt>
                <c:pt idx="3" formatCode="#,##0">
                  <c:v>196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gapWidth val="100"/>
        <c:secondPieSize val="75"/>
        <c:serLines/>
      </c:ofPie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64995357474466109"/>
          <c:y val="0.2076312829317388"/>
          <c:w val="0.33890436397400187"/>
          <c:h val="0.76819608075306378"/>
        </c:manualLayout>
      </c:layout>
      <c:overlay val="0"/>
      <c:txPr>
        <a:bodyPr/>
        <a:lstStyle/>
        <a:p>
          <a:pPr rtl="0"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0" u="none" strike="noStrike" baseline="0">
                <a:effectLst/>
              </a:rPr>
              <a:t>Завершенные процедуры, опубликованные на официальном сайте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ЕИС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(Н(М)ЦК, млн. руб)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9132383732932263E-2"/>
          <c:y val="0.30532419909605163"/>
          <c:w val="0.5805555555555556"/>
          <c:h val="0.65300925925925923"/>
        </c:manualLayout>
      </c:layout>
      <c:ofPieChart>
        <c:ofPieType val="bar"/>
        <c:varyColors val="1"/>
        <c:ser>
          <c:idx val="0"/>
          <c:order val="0"/>
          <c:tx>
            <c:strRef>
              <c:f>'[О предоставлении информации за 6 мес. 2018 года.xlsx]Блок 1'!$D$4</c:f>
              <c:strCache>
                <c:ptCount val="1"/>
                <c:pt idx="0">
                  <c:v>Стоимостные показатели
(млн. рублей)</c:v>
                </c:pt>
              </c:strCache>
            </c:strRef>
          </c:tx>
          <c:explosion val="21"/>
          <c:dPt>
            <c:idx val="0"/>
            <c:bubble3D val="0"/>
            <c:explosion val="28"/>
          </c:dPt>
          <c:dPt>
            <c:idx val="1"/>
            <c:bubble3D val="0"/>
            <c:explosion val="64"/>
          </c:dPt>
          <c:dPt>
            <c:idx val="2"/>
            <c:bubble3D val="0"/>
            <c:explosion val="0"/>
          </c:dPt>
          <c:dPt>
            <c:idx val="4"/>
            <c:bubble3D val="0"/>
            <c:explosion val="0"/>
          </c:dPt>
          <c:dLbls>
            <c:dLbl>
              <c:idx val="0"/>
              <c:layout>
                <c:manualLayout>
                  <c:x val="2.4447539461467039E-2"/>
                  <c:y val="-0.26239442091399223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0.10095584848551309"/>
                  <c:y val="-0.35986734510171786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</c:dLbls>
          <c:cat>
            <c:multiLvlStrRef>
              <c:f>'[О предоставлении информации за 6 мес. 2018 года.xlsx]Блок 1'!$A$32:$B$35</c:f>
              <c:multiLvlStrCache>
                <c:ptCount val="4"/>
                <c:lvl>
                  <c:pt idx="0">
                    <c:v>состоявшихся процедур</c:v>
                  </c:pt>
                  <c:pt idx="2">
                    <c:v>несостоявшихся процедур 
(подана 1 заявка или 1 заявка признана соответствующей)</c:v>
                  </c:pt>
                  <c:pt idx="3">
                    <c:v>несостоявшихся процедур 
(0 заявок или все заявки признаны несоответствующими)</c:v>
                  </c:pt>
                </c:lvl>
                <c:lvl>
                  <c:pt idx="0">
                    <c:v>5.1.</c:v>
                  </c:pt>
                  <c:pt idx="2">
                    <c:v>5.2.</c:v>
                  </c:pt>
                  <c:pt idx="3">
                    <c:v>5.3.</c:v>
                  </c:pt>
                </c:lvl>
              </c:multiLvlStrCache>
            </c:multiLvlStrRef>
          </c:cat>
          <c:val>
            <c:numRef>
              <c:f>'[О предоставлении информации за 6 мес. 2018 года.xlsx]Блок 1'!$D$32:$D$35</c:f>
              <c:numCache>
                <c:formatCode>General</c:formatCode>
                <c:ptCount val="4"/>
                <c:pt idx="0" formatCode="#,##0.00\ &quot;₽&quot;">
                  <c:v>9708.86</c:v>
                </c:pt>
                <c:pt idx="2" formatCode="#,##0.00\ &quot;₽&quot;">
                  <c:v>9334.2200000000012</c:v>
                </c:pt>
                <c:pt idx="3" formatCode="#,##0.00\ &quot;₽&quot;">
                  <c:v>2810.73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gapWidth val="100"/>
        <c:secondPieSize val="75"/>
        <c:serLines/>
      </c:ofPie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64995547562125766"/>
          <c:y val="0.23925068933170357"/>
          <c:w val="0.33890246309740529"/>
          <c:h val="0.71211233974814525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2018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8"/>
          <c:dPt>
            <c:idx val="0"/>
            <c:bubble3D val="0"/>
          </c:dPt>
          <c:dPt>
            <c:idx val="1"/>
            <c:bubble3D val="0"/>
            <c:explosion val="13"/>
          </c:dPt>
          <c:dPt>
            <c:idx val="2"/>
            <c:bubble3D val="0"/>
            <c:explosion val="27"/>
          </c:dPt>
          <c:dPt>
            <c:idx val="3"/>
            <c:bubble3D val="0"/>
            <c:explosion val="7"/>
          </c:dPt>
          <c:dPt>
            <c:idx val="4"/>
            <c:bubble3D val="0"/>
            <c:explosion val="47"/>
          </c:dPt>
          <c:dLbls>
            <c:dLbl>
              <c:idx val="0"/>
              <c:layout>
                <c:manualLayout>
                  <c:x val="-0.16454067967180769"/>
                  <c:y val="2.0539245018980589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277343579927233"/>
                  <c:y val="-1.3113869322988955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6731446944657872"/>
                  <c:y val="3.1205091653667555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727298476179685E-2"/>
                  <c:y val="-0.1086401313237906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Запрос предложений; 36</a:t>
                    </a:r>
                    <a:endParaRPr lang="ru-RU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Аукционы</c:v>
                </c:pt>
                <c:pt idx="1">
                  <c:v>Единственный поставщик</c:v>
                </c:pt>
                <c:pt idx="2">
                  <c:v>Запрос котировок</c:v>
                </c:pt>
                <c:pt idx="3">
                  <c:v>Конкурсы</c:v>
                </c:pt>
                <c:pt idx="4">
                  <c:v>Запрос предложений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14724</c:v>
                </c:pt>
                <c:pt idx="1">
                  <c:v>2594</c:v>
                </c:pt>
                <c:pt idx="2">
                  <c:v>2357</c:v>
                </c:pt>
                <c:pt idx="3">
                  <c:v>123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По сумме НМЦК (млн. рублей.) </a:t>
            </a:r>
          </a:p>
        </c:rich>
      </c:tx>
      <c:layout>
        <c:manualLayout>
          <c:xMode val="edge"/>
          <c:yMode val="edge"/>
          <c:x val="0.32668921087058472"/>
          <c:y val="1.6189268419658056E-5"/>
        </c:manualLayout>
      </c:layout>
      <c:overlay val="0"/>
    </c:title>
    <c:autoTitleDeleted val="0"/>
    <c:view3D>
      <c:rotX val="30"/>
      <c:rotY val="18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6.8528220910503507E-2"/>
          <c:w val="1"/>
          <c:h val="0.931471745551401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Pt>
            <c:idx val="0"/>
            <c:bubble3D val="0"/>
            <c:explosion val="72"/>
          </c:dPt>
          <c:dPt>
            <c:idx val="2"/>
            <c:bubble3D val="0"/>
            <c:explosion val="39"/>
          </c:dPt>
          <c:dPt>
            <c:idx val="3"/>
            <c:bubble3D val="0"/>
            <c:explosion val="59"/>
          </c:dPt>
          <c:dLbls>
            <c:dLbl>
              <c:idx val="0"/>
              <c:layout>
                <c:manualLayout>
                  <c:x val="-0.20046114573205692"/>
                  <c:y val="0.16000576412050821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723131730835804"/>
                  <c:y val="-0.112342707161604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481460500890626"/>
                  <c:y val="-1.8999250093738283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2947350233258459"/>
                  <c:y val="-1.208459214501510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41925741296726399"/>
                  <c:y val="-1.4286089238845145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Аукционы</c:v>
                </c:pt>
                <c:pt idx="1">
                  <c:v>Единственный поставщик</c:v>
                </c:pt>
                <c:pt idx="2">
                  <c:v>Запрос котировок</c:v>
                </c:pt>
                <c:pt idx="3">
                  <c:v>Конкурсы</c:v>
                </c:pt>
                <c:pt idx="4">
                  <c:v>Запрос предложений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19849.099999999999</c:v>
                </c:pt>
                <c:pt idx="1">
                  <c:v>2353.4</c:v>
                </c:pt>
                <c:pt idx="2">
                  <c:v>287.41000000000003</c:v>
                </c:pt>
                <c:pt idx="3">
                  <c:v>327.24</c:v>
                </c:pt>
                <c:pt idx="4">
                  <c:v>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26231043885318"/>
          <c:y val="1.7579802262799916E-2"/>
          <c:w val="0.50662798502785378"/>
          <c:h val="0.94237820848611842"/>
        </c:manualLayout>
      </c:layout>
      <c:bar3D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237560192616372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47565543071161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914927768860354"/>
                  <c:y val="-5.8224163027656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08186195826651E-2"/>
                  <c:y val="-2.911208151382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1326912787586941E-2"/>
                  <c:y val="-8.7336244541484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42054574638843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205457463884508E-2"/>
                  <c:y val="-5.8224163027656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4205457463884508E-2"/>
                  <c:y val="-5.8224163027656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63456393793472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206527554842154E-2"/>
                  <c:y val="-2.911208151382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'Заказчики по цене'!$B$3:$B$12</c:f>
              <c:strCache>
                <c:ptCount val="10"/>
                <c:pt idx="0">
                  <c:v>МИНИСТЕРСТВО ФИНАНСОВ СВЕРДЛОВСКОЙ ОБЛАСТИ</c:v>
                </c:pt>
                <c:pt idx="1">
                  <c:v>ГБУ СО "УПРАВЛЕНИЕ АВТОМОБИЛЬНЫХ ДОРОГ"</c:v>
                </c:pt>
                <c:pt idx="2">
                  <c:v>МИНИСТЕРСТВО ЗДРАВООХРАНЕНИЯ СВЕРДЛОВСКОЙ ОБЛАСТИ</c:v>
                </c:pt>
                <c:pt idx="3">
                  <c:v>ГКУ СО "ФОНД ЖИЛИЩНОГО СТРОИТЕЛЬСТВА"</c:v>
                </c:pt>
                <c:pt idx="4">
                  <c:v>ГКУ СО "УПРАВЛЕНИЕ КАПИТАЛЬНОГО СТРОИТЕЛЬСТВА СВЕРДЛОВСКОЙ ОБЛАСТИ"</c:v>
                </c:pt>
                <c:pt idx="5">
                  <c:v>ГБУЗ СО "СВЕРДЛОВСКИЙ ОБЛАСТНОЙ ОНКОЛОГИЧЕСКИЙ ДИСПАНСЕР"</c:v>
                </c:pt>
                <c:pt idx="6">
                  <c:v>ГБУЗ СО "СВЕРДЛОВСКАЯ ОБЛАСТНАЯ КЛИНИЧЕСКАЯ БОЛЬНИЦА № 1"</c:v>
                </c:pt>
                <c:pt idx="7">
                  <c:v>ДЕПАРТАМЕНТ ИНФОРМАТИЗАЦИИ И СВЯЗИ СВЕРДЛОВСКОЙ ОБЛАСТИ</c:v>
                </c:pt>
                <c:pt idx="8">
                  <c:v>ГБУЗ СО "ОБЛАСТНАЯ ДЕТСКАЯ КЛИНИЧЕСКАЯ БОЛЬНИЦА №1"</c:v>
                </c:pt>
                <c:pt idx="9">
                  <c:v>ГБУЗ СО"НАУЧНО-ПРАКТИЧЕСКИЙ ЦЕНТР СПЕЦИАЛИЗИРОВАННЫХ ВИДОВ МЕДИЦИНСКОЙ ПОМОЩИ "УРАЛЬСКИЙ ИНСТИТУТ КАРДИОЛОГИИ"</c:v>
                </c:pt>
              </c:strCache>
            </c:strRef>
          </c:cat>
          <c:val>
            <c:numRef>
              <c:f>'Заказчики по цене'!$E$3:$E$12</c:f>
              <c:numCache>
                <c:formatCode>#,##0</c:formatCode>
                <c:ptCount val="10"/>
                <c:pt idx="0">
                  <c:v>5013.4009619999997</c:v>
                </c:pt>
                <c:pt idx="1">
                  <c:v>3969.3762409999999</c:v>
                </c:pt>
                <c:pt idx="2">
                  <c:v>1519.2196429999999</c:v>
                </c:pt>
                <c:pt idx="3">
                  <c:v>1145.196997</c:v>
                </c:pt>
                <c:pt idx="4">
                  <c:v>944.63145599999996</c:v>
                </c:pt>
                <c:pt idx="5">
                  <c:v>636.48776299999997</c:v>
                </c:pt>
                <c:pt idx="6">
                  <c:v>583.85385900000006</c:v>
                </c:pt>
                <c:pt idx="7">
                  <c:v>418.61323800000002</c:v>
                </c:pt>
                <c:pt idx="8">
                  <c:v>315.37253500000003</c:v>
                </c:pt>
                <c:pt idx="9">
                  <c:v>313.18737099999998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22906112"/>
        <c:axId val="123913344"/>
        <c:axId val="0"/>
      </c:bar3DChart>
      <c:catAx>
        <c:axId val="122906112"/>
        <c:scaling>
          <c:orientation val="minMax"/>
        </c:scaling>
        <c:delete val="0"/>
        <c:axPos val="l"/>
        <c:majorTickMark val="none"/>
        <c:minorTickMark val="none"/>
        <c:tickLblPos val="nextTo"/>
        <c:crossAx val="123913344"/>
        <c:crosses val="autoZero"/>
        <c:auto val="1"/>
        <c:lblAlgn val="ctr"/>
        <c:lblOffset val="100"/>
        <c:noMultiLvlLbl val="0"/>
      </c:catAx>
      <c:valAx>
        <c:axId val="123913344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22906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612878412448923"/>
          <c:y val="1.7498462413746193E-2"/>
          <c:w val="0.48844343416074409"/>
          <c:h val="0.8591888710852757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Первые 10 заказчиков по количеству лотов в размещенных извещениях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25437201907790141"/>
                  <c:y val="1.04239497072061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1409644939056705"/>
                  <c:y val="-2.8429282160625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077371489136195"/>
                  <c:y val="-2.8429282160625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950185479597244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886592474827769"/>
                  <c:y val="-8.52878464818758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7594064652888183"/>
                  <c:y val="-5.6858564321250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653418124006359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526232114467408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3778484366719662"/>
                  <c:y val="-2.8429282160625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1889596602972391"/>
                  <c:y val="-6.410256410256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ГБУ ЗСО "СВЕРДЛОВСКАЯ ОБЛАСТНАЯ КЛИНИЧЕСКАЯ БОЛЬНИЦА № 1"</c:v>
                </c:pt>
                <c:pt idx="1">
                  <c:v>ГБУ ЗСО "ОБЛАСТНАЯ ДЕТСКАЯ КЛИНИЧЕСКАЯ БОЛЬНИЦА №1"</c:v>
                </c:pt>
                <c:pt idx="2">
                  <c:v>ГБУ ЗСО"СВЕРДЛОВСКИЙ ОБЛАСТНОЙ ОНКОЛОГИЧЕСКИЙ ДИСПАНСЕР"</c:v>
                </c:pt>
                <c:pt idx="3">
                  <c:v>ГБУ ЗСО "ПРОТИВОТУБЕРКУЛЕЗНЫЙ ДИСПАНСЕР"</c:v>
                </c:pt>
                <c:pt idx="4">
                  <c:v>ГБУ ЗСО "СВЕРДЛОВСКАЯ ОБЛАСТНАЯ КЛИНИЧЕСКАЯ ПСИХИАТРИЧЕСКАЯ БОЛЬНИЦА"</c:v>
                </c:pt>
                <c:pt idx="5">
                  <c:v>ГБУ ЗСО "ГОРОДСКАЯ БОЛЬНИЦА ГОРОД КАМЕНСК-УРАЛЬСКИЙ"</c:v>
                </c:pt>
                <c:pt idx="6">
                  <c:v>МИНИСТЕРСТВО ЗДРАВООХРАНЕНИЯ СВЕРДЛОВСКОЙ ОБЛАСТИ</c:v>
                </c:pt>
                <c:pt idx="7">
                  <c:v>ГБУ ЗСО "СВЕРДЛОВСКИЙ ОБЛАСТНОЙ КЛИНИЧЕСКИЙ ПСИХОНЕВРОЛОГИЧЕСКИЙ ГОСПИТАЛЬ ДЛЯ ВЕТЕРАНОВ ВОЙН"</c:v>
                </c:pt>
                <c:pt idx="8">
                  <c:v>ГБУ ЗСО"ГОРОДСКАЯ БОЛЬНИЦА № 4 ГОРОД НИЖНИЙ ТАГИЛ"</c:v>
                </c:pt>
                <c:pt idx="9">
                  <c:v>ГБУ ЗСО "ГОРОДСКАЯ БОЛЬНИЦА ГОРОД ПЕРВОУРАЛЬСК"</c:v>
                </c:pt>
              </c:strCache>
            </c:strRef>
          </c:cat>
          <c:val>
            <c:numRef>
              <c:f>Лист1!$B$2:$B$11</c:f>
              <c:numCache>
                <c:formatCode>#,##0</c:formatCode>
                <c:ptCount val="10"/>
                <c:pt idx="0">
                  <c:v>1765</c:v>
                </c:pt>
                <c:pt idx="1">
                  <c:v>1380</c:v>
                </c:pt>
                <c:pt idx="2">
                  <c:v>1304</c:v>
                </c:pt>
                <c:pt idx="3">
                  <c:v>1192</c:v>
                </c:pt>
                <c:pt idx="4">
                  <c:v>1128</c:v>
                </c:pt>
                <c:pt idx="5">
                  <c:v>1004</c:v>
                </c:pt>
                <c:pt idx="6">
                  <c:v>996</c:v>
                </c:pt>
                <c:pt idx="7">
                  <c:v>860</c:v>
                </c:pt>
                <c:pt idx="8">
                  <c:v>714</c:v>
                </c:pt>
                <c:pt idx="9">
                  <c:v>682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24778752"/>
        <c:axId val="124828288"/>
        <c:axId val="0"/>
      </c:bar3DChart>
      <c:catAx>
        <c:axId val="12477875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4828288"/>
        <c:crosses val="autoZero"/>
        <c:auto val="1"/>
        <c:lblAlgn val="l"/>
        <c:lblOffset val="100"/>
        <c:noMultiLvlLbl val="0"/>
      </c:catAx>
      <c:valAx>
        <c:axId val="124828288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24778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Отсутствие учатников при проведении аукциона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4">
                  <c:v>228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Допущена одна заявка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76</c:v>
                </c:pt>
                <c:pt idx="2">
                  <c:v>1</c:v>
                </c:pt>
                <c:pt idx="3">
                  <c:v>14</c:v>
                </c:pt>
                <c:pt idx="4">
                  <c:v>3850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допущено ни одной заявки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1">
                  <c:v>26</c:v>
                </c:pt>
                <c:pt idx="3">
                  <c:v>5</c:v>
                </c:pt>
                <c:pt idx="4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подано ни одной заявки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1">
                  <c:v>258</c:v>
                </c:pt>
                <c:pt idx="2">
                  <c:v>1</c:v>
                </c:pt>
                <c:pt idx="3">
                  <c:v>3</c:v>
                </c:pt>
                <c:pt idx="4">
                  <c:v>1533</c:v>
                </c:pt>
                <c:pt idx="5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Несоответствие вторых частей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1463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Подана одна заявка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Двухэтапный конкурс</c:v>
                </c:pt>
                <c:pt idx="1">
                  <c:v>Запрос котировок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  <c:pt idx="5">
                  <c:v>Запрос предложений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1</c:v>
                </c:pt>
                <c:pt idx="1">
                  <c:v>1182</c:v>
                </c:pt>
                <c:pt idx="2">
                  <c:v>2</c:v>
                </c:pt>
                <c:pt idx="3">
                  <c:v>24</c:v>
                </c:pt>
                <c:pt idx="4">
                  <c:v>224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59591040"/>
        <c:axId val="159929472"/>
        <c:axId val="0"/>
      </c:bar3DChart>
      <c:catAx>
        <c:axId val="1595910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9929472"/>
        <c:crosses val="autoZero"/>
        <c:auto val="1"/>
        <c:lblAlgn val="ctr"/>
        <c:lblOffset val="100"/>
        <c:noMultiLvlLbl val="0"/>
      </c:catAx>
      <c:valAx>
        <c:axId val="1599294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9591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83602049743785"/>
          <c:y val="7.8961626147096592E-2"/>
          <c:w val="0.3114655668041495"/>
          <c:h val="0.86478533249037293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2018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8"/>
          <c:dPt>
            <c:idx val="0"/>
            <c:bubble3D val="0"/>
            <c:explosion val="20"/>
          </c:dPt>
          <c:dPt>
            <c:idx val="1"/>
            <c:bubble3D val="0"/>
            <c:explosion val="13"/>
          </c:dPt>
          <c:dPt>
            <c:idx val="2"/>
            <c:bubble3D val="0"/>
            <c:explosion val="27"/>
          </c:dPt>
          <c:dPt>
            <c:idx val="3"/>
            <c:bubble3D val="0"/>
            <c:explosion val="7"/>
          </c:dPt>
          <c:dPt>
            <c:idx val="4"/>
            <c:bubble3D val="0"/>
            <c:explosion val="47"/>
          </c:dPt>
          <c:dLbls>
            <c:dLbl>
              <c:idx val="0"/>
              <c:layout>
                <c:manualLayout>
                  <c:x val="-0.16454067967180769"/>
                  <c:y val="2.0539245018980589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277343579927233"/>
                  <c:y val="-1.3113869322988955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6731446944657872"/>
                  <c:y val="3.1205091653667555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727298476179685E-2"/>
                  <c:y val="-0.1086401313237906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Запрос предложений; 5</a:t>
                    </a:r>
                    <a:endParaRPr lang="ru-RU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Аукционы</c:v>
                </c:pt>
                <c:pt idx="1">
                  <c:v>Единственный поставщик</c:v>
                </c:pt>
                <c:pt idx="2">
                  <c:v>Запрос котировок</c:v>
                </c:pt>
                <c:pt idx="3">
                  <c:v>Конкурсы</c:v>
                </c:pt>
                <c:pt idx="4">
                  <c:v>Запрос предложений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13365</c:v>
                </c:pt>
                <c:pt idx="1">
                  <c:v>2594</c:v>
                </c:pt>
                <c:pt idx="2">
                  <c:v>2043</c:v>
                </c:pt>
                <c:pt idx="3">
                  <c:v>118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69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997863247863247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2018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33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explosion val="16"/>
          </c:dPt>
          <c:dLbls>
            <c:dLbl>
              <c:idx val="0"/>
              <c:layout>
                <c:manualLayout>
                  <c:x val="-0.36748331116144728"/>
                  <c:y val="2.495419860596895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2494796597914E-2"/>
                  <c:y val="-0.39280492256348754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475616917748296"/>
                  <c:y val="-7.1934782986563764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230815326166422E-2"/>
                  <c:y val="0.120467226364916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25690544389713843"/>
                  <c:y val="-6.0075089951504408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Запрос предложений; 36</a:t>
                    </a:r>
                    <a:endParaRPr lang="ru-RU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Аукционы</c:v>
                </c:pt>
                <c:pt idx="1">
                  <c:v>Единственный поставщик</c:v>
                </c:pt>
                <c:pt idx="2">
                  <c:v>Запрос котировок</c:v>
                </c:pt>
                <c:pt idx="3">
                  <c:v>Конкурсы</c:v>
                </c:pt>
                <c:pt idx="4">
                  <c:v>Запрос предложений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19190.11</c:v>
                </c:pt>
                <c:pt idx="1">
                  <c:v>2353.6799999999998</c:v>
                </c:pt>
                <c:pt idx="2">
                  <c:v>220.7</c:v>
                </c:pt>
                <c:pt idx="3">
                  <c:v>273.56</c:v>
                </c:pt>
                <c:pt idx="4">
                  <c:v>5.8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Поступившие в Департамент заявки на определение поставщиков</a:t>
            </a:r>
            <a:b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(подрядчиков, исполнителей) (кол-во, шт.)</a:t>
            </a:r>
          </a:p>
        </c:rich>
      </c:tx>
      <c:layout>
        <c:manualLayout>
          <c:xMode val="edge"/>
          <c:yMode val="edge"/>
          <c:x val="0.19580432810902307"/>
          <c:y val="4.0251471120685382E-3"/>
        </c:manualLayout>
      </c:layout>
      <c:overlay val="0"/>
    </c:title>
    <c:autoTitleDeleted val="0"/>
    <c:view3D>
      <c:rotX val="30"/>
      <c:rotY val="2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23365203735948E-4"/>
          <c:y val="0.18269691439522218"/>
          <c:w val="0.58615775969180328"/>
          <c:h val="0.65804070717575402"/>
        </c:manualLayout>
      </c:layout>
      <c:pie3DChart>
        <c:varyColors val="1"/>
        <c:ser>
          <c:idx val="0"/>
          <c:order val="0"/>
          <c:tx>
            <c:strRef>
              <c:f>'[О предоставлении информации за 6 мес. 2018 года.xlsx]Блок 1'!$C$4</c:f>
              <c:strCache>
                <c:ptCount val="1"/>
                <c:pt idx="0">
                  <c:v>Количественные показатели
(шт.)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  <a:bevelB/>
            </a:sp3d>
          </c:spPr>
          <c:explosion val="25"/>
          <c:dPt>
            <c:idx val="0"/>
            <c:bubble3D val="0"/>
            <c:explosion val="22"/>
          </c:dPt>
          <c:dPt>
            <c:idx val="1"/>
            <c:bubble3D val="0"/>
            <c:explosion val="18"/>
          </c:dPt>
          <c:dPt>
            <c:idx val="2"/>
            <c:bubble3D val="0"/>
            <c:explosion val="40"/>
          </c:dPt>
          <c:dPt>
            <c:idx val="4"/>
            <c:bubble3D val="0"/>
            <c:explosion val="49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</c:dPt>
          <c:dLbls>
            <c:dLbl>
              <c:idx val="0"/>
              <c:layout>
                <c:manualLayout>
                  <c:x val="-1.7639412720468765E-2"/>
                  <c:y val="9.4805130490764123E-4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9.9569759662395146E-2"/>
                  <c:y val="-9.5597484276729566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8.525390208576869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8.9822595704948643E-3"/>
                  <c:y val="2.3656118456891001E-2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9.5899777233727276E-4"/>
                  <c:y val="-0.17208814935868866"/>
                </c:manualLayout>
              </c:layout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numFmt formatCode="0.0%" sourceLinked="0"/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</c:dLbls>
          <c:cat>
            <c:multiLvlStrRef>
              <c:f>'[О предоставлении информации за 6 мес. 2018 года.xlsx]Блок 1'!$A$8:$B$12</c:f>
              <c:multiLvlStrCache>
                <c:ptCount val="5"/>
                <c:lvl>
                  <c:pt idx="0">
                    <c:v>заявки с Н(М)ЦК менее пяти миллионов рублей (без учета совместных закупок, закупок муниципальных заказчиков и ГУПов СО)</c:v>
                  </c:pt>
                  <c:pt idx="1">
                    <c:v>заявки с Н(М)ЦК пять миллионов рублей и более (без учета совместных закупок, закупок муниципальных заказчиков и ГУПов СО)</c:v>
                  </c:pt>
                  <c:pt idx="2">
                    <c:v>заявки на проведение совместных закупок</c:v>
                  </c:pt>
                  <c:pt idx="3">
                    <c:v>заявки от муниципальных заказчиков Свердловской области</c:v>
                  </c:pt>
                  <c:pt idx="4">
                    <c:v>заявки от ГУП Свердловской области</c:v>
                  </c:pt>
                </c:lvl>
                <c:lvl>
                  <c:pt idx="0">
                    <c:v>1.1.</c:v>
                  </c:pt>
                  <c:pt idx="1">
                    <c:v>1.2.</c:v>
                  </c:pt>
                  <c:pt idx="2">
                    <c:v>1.3.</c:v>
                  </c:pt>
                  <c:pt idx="3">
                    <c:v>1.4.</c:v>
                  </c:pt>
                  <c:pt idx="4">
                    <c:v>1.5.</c:v>
                  </c:pt>
                </c:lvl>
              </c:multiLvlStrCache>
            </c:multiLvlStrRef>
          </c:cat>
          <c:val>
            <c:numRef>
              <c:f>'[О предоставлении информации за 6 мес. 2018 года.xlsx]Блок 1'!$C$8:$C$12</c:f>
              <c:numCache>
                <c:formatCode>#,##0</c:formatCode>
                <c:ptCount val="5"/>
                <c:pt idx="0">
                  <c:v>940</c:v>
                </c:pt>
                <c:pt idx="1">
                  <c:v>290</c:v>
                </c:pt>
                <c:pt idx="2">
                  <c:v>3</c:v>
                </c:pt>
                <c:pt idx="3">
                  <c:v>35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894682282361754"/>
          <c:y val="0.22974496112514237"/>
          <c:w val="0.3998486953836653"/>
          <c:h val="0.74981825385034406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440F-9351-4924-940A-6B604EC4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37</Pages>
  <Words>8827</Words>
  <Characters>50314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Недов</cp:lastModifiedBy>
  <cp:revision>17</cp:revision>
  <cp:lastPrinted>2018-08-01T11:40:00Z</cp:lastPrinted>
  <dcterms:created xsi:type="dcterms:W3CDTF">2018-07-27T12:00:00Z</dcterms:created>
  <dcterms:modified xsi:type="dcterms:W3CDTF">2018-08-01T11:41:00Z</dcterms:modified>
</cp:coreProperties>
</file>